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06677" w14:textId="77777777" w:rsidR="00074190" w:rsidRDefault="00BB46EC" w:rsidP="00BB46EC">
      <w:pPr>
        <w:jc w:val="center"/>
        <w:rPr>
          <w:b/>
          <w:color w:val="1F497D" w:themeColor="text2"/>
          <w:sz w:val="36"/>
          <w:szCs w:val="36"/>
        </w:rPr>
      </w:pPr>
      <w:r w:rsidRPr="00B935E2">
        <w:rPr>
          <w:b/>
          <w:color w:val="1F497D" w:themeColor="text2"/>
          <w:sz w:val="36"/>
          <w:szCs w:val="36"/>
          <w:lang w:val="en-US"/>
        </w:rPr>
        <w:t>Rev</w:t>
      </w:r>
      <w:r w:rsidRPr="00B935E2">
        <w:rPr>
          <w:b/>
          <w:color w:val="1F497D" w:themeColor="text2"/>
          <w:sz w:val="36"/>
          <w:szCs w:val="36"/>
        </w:rPr>
        <w:t xml:space="preserve">ízia politiky EÚ pre </w:t>
      </w:r>
      <w:proofErr w:type="spellStart"/>
      <w:r w:rsidRPr="00B935E2">
        <w:rPr>
          <w:b/>
          <w:color w:val="1F497D" w:themeColor="text2"/>
          <w:sz w:val="36"/>
          <w:szCs w:val="36"/>
        </w:rPr>
        <w:t>biopalivá</w:t>
      </w:r>
      <w:proofErr w:type="spellEnd"/>
    </w:p>
    <w:p w14:paraId="23319A04" w14:textId="77777777" w:rsidR="00565B5D" w:rsidRDefault="00565B5D" w:rsidP="00565B5D">
      <w:pPr>
        <w:spacing w:after="0"/>
        <w:rPr>
          <w:b/>
          <w:sz w:val="20"/>
          <w:szCs w:val="20"/>
        </w:rPr>
      </w:pPr>
    </w:p>
    <w:p w14:paraId="5D853FE4" w14:textId="106C7111" w:rsidR="00B935E2" w:rsidRPr="00565B5D" w:rsidRDefault="00565B5D" w:rsidP="00565B5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B935E2" w:rsidRPr="00565B5D">
        <w:rPr>
          <w:b/>
          <w:sz w:val="20"/>
          <w:szCs w:val="20"/>
        </w:rPr>
        <w:t>bsah:</w:t>
      </w:r>
    </w:p>
    <w:p w14:paraId="5BF0E4BE" w14:textId="3180903E" w:rsidR="00B935E2" w:rsidRPr="00565B5D" w:rsidRDefault="00B935E2" w:rsidP="00565B5D">
      <w:pPr>
        <w:spacing w:after="0"/>
        <w:rPr>
          <w:color w:val="548DD4" w:themeColor="text2" w:themeTint="99"/>
          <w:sz w:val="20"/>
          <w:szCs w:val="20"/>
        </w:rPr>
      </w:pPr>
      <w:r w:rsidRPr="00565B5D">
        <w:rPr>
          <w:color w:val="548DD4" w:themeColor="text2" w:themeTint="99"/>
          <w:sz w:val="20"/>
          <w:szCs w:val="20"/>
        </w:rPr>
        <w:fldChar w:fldCharType="begin"/>
      </w:r>
      <w:r w:rsidRPr="00565B5D">
        <w:rPr>
          <w:color w:val="548DD4" w:themeColor="text2" w:themeTint="99"/>
          <w:sz w:val="20"/>
          <w:szCs w:val="20"/>
        </w:rPr>
        <w:instrText xml:space="preserve"> REF _Ref411874233 \h </w:instrText>
      </w:r>
      <w:r w:rsidRPr="00565B5D">
        <w:rPr>
          <w:color w:val="548DD4" w:themeColor="text2" w:themeTint="99"/>
          <w:sz w:val="20"/>
          <w:szCs w:val="20"/>
        </w:rPr>
      </w:r>
      <w:r w:rsidR="00565B5D">
        <w:rPr>
          <w:color w:val="548DD4" w:themeColor="text2" w:themeTint="99"/>
          <w:sz w:val="20"/>
          <w:szCs w:val="20"/>
        </w:rPr>
        <w:instrText xml:space="preserve"> \* MERGEFORMAT </w:instrText>
      </w:r>
      <w:r w:rsidRPr="00565B5D">
        <w:rPr>
          <w:color w:val="548DD4" w:themeColor="text2" w:themeTint="99"/>
          <w:sz w:val="20"/>
          <w:szCs w:val="20"/>
        </w:rPr>
        <w:fldChar w:fldCharType="separate"/>
      </w:r>
      <w:r w:rsidR="00996D89" w:rsidRPr="00565B5D">
        <w:rPr>
          <w:sz w:val="20"/>
          <w:szCs w:val="20"/>
        </w:rPr>
        <w:t>Kontext</w:t>
      </w:r>
      <w:r w:rsidRPr="00565B5D">
        <w:rPr>
          <w:color w:val="548DD4" w:themeColor="text2" w:themeTint="99"/>
          <w:sz w:val="20"/>
          <w:szCs w:val="20"/>
        </w:rPr>
        <w:fldChar w:fldCharType="end"/>
      </w:r>
    </w:p>
    <w:p w14:paraId="438441D6" w14:textId="2C2A7AE3" w:rsidR="00B935E2" w:rsidRPr="00565B5D" w:rsidRDefault="00B935E2" w:rsidP="00565B5D">
      <w:pPr>
        <w:spacing w:after="0"/>
        <w:rPr>
          <w:color w:val="548DD4" w:themeColor="text2" w:themeTint="99"/>
          <w:sz w:val="20"/>
          <w:szCs w:val="20"/>
        </w:rPr>
      </w:pPr>
      <w:r w:rsidRPr="00565B5D">
        <w:rPr>
          <w:color w:val="548DD4" w:themeColor="text2" w:themeTint="99"/>
          <w:sz w:val="20"/>
          <w:szCs w:val="20"/>
        </w:rPr>
        <w:fldChar w:fldCharType="begin"/>
      </w:r>
      <w:r w:rsidRPr="00565B5D">
        <w:rPr>
          <w:color w:val="548DD4" w:themeColor="text2" w:themeTint="99"/>
          <w:sz w:val="20"/>
          <w:szCs w:val="20"/>
        </w:rPr>
        <w:instrText xml:space="preserve"> REF _Ref411874341 \h </w:instrText>
      </w:r>
      <w:r w:rsidRPr="00565B5D">
        <w:rPr>
          <w:color w:val="548DD4" w:themeColor="text2" w:themeTint="99"/>
          <w:sz w:val="20"/>
          <w:szCs w:val="20"/>
        </w:rPr>
      </w:r>
      <w:r w:rsidR="00565B5D">
        <w:rPr>
          <w:color w:val="548DD4" w:themeColor="text2" w:themeTint="99"/>
          <w:sz w:val="20"/>
          <w:szCs w:val="20"/>
        </w:rPr>
        <w:instrText xml:space="preserve"> \* MERGEFORMAT </w:instrText>
      </w:r>
      <w:r w:rsidRPr="00565B5D">
        <w:rPr>
          <w:color w:val="548DD4" w:themeColor="text2" w:themeTint="99"/>
          <w:sz w:val="20"/>
          <w:szCs w:val="20"/>
        </w:rPr>
        <w:fldChar w:fldCharType="separate"/>
      </w:r>
      <w:r w:rsidR="00996D89" w:rsidRPr="00565B5D">
        <w:rPr>
          <w:sz w:val="20"/>
          <w:szCs w:val="20"/>
        </w:rPr>
        <w:t xml:space="preserve">Prečo bola potrebná revízia politiky EÚ pre </w:t>
      </w:r>
      <w:proofErr w:type="spellStart"/>
      <w:r w:rsidR="00996D89" w:rsidRPr="00565B5D">
        <w:rPr>
          <w:sz w:val="20"/>
          <w:szCs w:val="20"/>
        </w:rPr>
        <w:t>biopalivá</w:t>
      </w:r>
      <w:proofErr w:type="spellEnd"/>
      <w:r w:rsidRPr="00565B5D">
        <w:rPr>
          <w:color w:val="548DD4" w:themeColor="text2" w:themeTint="99"/>
          <w:sz w:val="20"/>
          <w:szCs w:val="20"/>
        </w:rPr>
        <w:fldChar w:fldCharType="end"/>
      </w:r>
    </w:p>
    <w:p w14:paraId="4C302208" w14:textId="74B91135" w:rsidR="00B935E2" w:rsidRPr="00565B5D" w:rsidRDefault="00B935E2" w:rsidP="00565B5D">
      <w:pPr>
        <w:spacing w:after="0"/>
        <w:rPr>
          <w:color w:val="548DD4" w:themeColor="text2" w:themeTint="99"/>
          <w:sz w:val="20"/>
          <w:szCs w:val="20"/>
        </w:rPr>
      </w:pPr>
      <w:r w:rsidRPr="00565B5D">
        <w:rPr>
          <w:color w:val="548DD4" w:themeColor="text2" w:themeTint="99"/>
          <w:sz w:val="20"/>
          <w:szCs w:val="20"/>
        </w:rPr>
        <w:fldChar w:fldCharType="begin"/>
      </w:r>
      <w:r w:rsidRPr="00565B5D">
        <w:rPr>
          <w:color w:val="548DD4" w:themeColor="text2" w:themeTint="99"/>
          <w:sz w:val="20"/>
          <w:szCs w:val="20"/>
        </w:rPr>
        <w:instrText xml:space="preserve"> REF _Ref411874418 \h </w:instrText>
      </w:r>
      <w:r w:rsidRPr="00565B5D">
        <w:rPr>
          <w:color w:val="548DD4" w:themeColor="text2" w:themeTint="99"/>
          <w:sz w:val="20"/>
          <w:szCs w:val="20"/>
        </w:rPr>
      </w:r>
      <w:r w:rsidR="00565B5D">
        <w:rPr>
          <w:color w:val="548DD4" w:themeColor="text2" w:themeTint="99"/>
          <w:sz w:val="20"/>
          <w:szCs w:val="20"/>
        </w:rPr>
        <w:instrText xml:space="preserve"> \* MERGEFORMAT </w:instrText>
      </w:r>
      <w:r w:rsidRPr="00565B5D">
        <w:rPr>
          <w:color w:val="548DD4" w:themeColor="text2" w:themeTint="99"/>
          <w:sz w:val="20"/>
          <w:szCs w:val="20"/>
        </w:rPr>
        <w:fldChar w:fldCharType="separate"/>
      </w:r>
      <w:r w:rsidR="00996D89" w:rsidRPr="00565B5D">
        <w:rPr>
          <w:sz w:val="20"/>
          <w:szCs w:val="20"/>
        </w:rPr>
        <w:t xml:space="preserve">Ako môže revízia prispieť k zabezpečeniu trvalej udržateľnosti </w:t>
      </w:r>
      <w:proofErr w:type="spellStart"/>
      <w:r w:rsidR="00996D89" w:rsidRPr="00565B5D">
        <w:rPr>
          <w:sz w:val="20"/>
          <w:szCs w:val="20"/>
        </w:rPr>
        <w:t>biopalív</w:t>
      </w:r>
      <w:proofErr w:type="spellEnd"/>
      <w:r w:rsidR="00996D89" w:rsidRPr="00565B5D">
        <w:rPr>
          <w:sz w:val="20"/>
          <w:szCs w:val="20"/>
        </w:rPr>
        <w:t>.</w:t>
      </w:r>
      <w:r w:rsidRPr="00565B5D">
        <w:rPr>
          <w:color w:val="548DD4" w:themeColor="text2" w:themeTint="99"/>
          <w:sz w:val="20"/>
          <w:szCs w:val="20"/>
        </w:rPr>
        <w:fldChar w:fldCharType="end"/>
      </w:r>
    </w:p>
    <w:p w14:paraId="6D966EE9" w14:textId="7AD607AD" w:rsidR="00B935E2" w:rsidRPr="00565B5D" w:rsidRDefault="00B935E2" w:rsidP="00565B5D">
      <w:pPr>
        <w:spacing w:after="0"/>
        <w:rPr>
          <w:color w:val="548DD4" w:themeColor="text2" w:themeTint="99"/>
          <w:sz w:val="20"/>
          <w:szCs w:val="20"/>
        </w:rPr>
      </w:pPr>
      <w:r w:rsidRPr="00565B5D">
        <w:rPr>
          <w:color w:val="548DD4" w:themeColor="text2" w:themeTint="99"/>
          <w:sz w:val="20"/>
          <w:szCs w:val="20"/>
        </w:rPr>
        <w:fldChar w:fldCharType="begin"/>
      </w:r>
      <w:r w:rsidRPr="00565B5D">
        <w:rPr>
          <w:color w:val="548DD4" w:themeColor="text2" w:themeTint="99"/>
          <w:sz w:val="20"/>
          <w:szCs w:val="20"/>
        </w:rPr>
        <w:instrText xml:space="preserve"> REF _Ref411874430 \h </w:instrText>
      </w:r>
      <w:r w:rsidRPr="00565B5D">
        <w:rPr>
          <w:color w:val="548DD4" w:themeColor="text2" w:themeTint="99"/>
          <w:sz w:val="20"/>
          <w:szCs w:val="20"/>
        </w:rPr>
      </w:r>
      <w:r w:rsidR="00565B5D">
        <w:rPr>
          <w:color w:val="548DD4" w:themeColor="text2" w:themeTint="99"/>
          <w:sz w:val="20"/>
          <w:szCs w:val="20"/>
        </w:rPr>
        <w:instrText xml:space="preserve"> \* MERGEFORMAT </w:instrText>
      </w:r>
      <w:r w:rsidRPr="00565B5D">
        <w:rPr>
          <w:color w:val="548DD4" w:themeColor="text2" w:themeTint="99"/>
          <w:sz w:val="20"/>
          <w:szCs w:val="20"/>
        </w:rPr>
        <w:fldChar w:fldCharType="separate"/>
      </w:r>
      <w:r w:rsidR="00996D89" w:rsidRPr="00565B5D">
        <w:rPr>
          <w:sz w:val="20"/>
          <w:szCs w:val="20"/>
        </w:rPr>
        <w:t>Ďalšie informácie</w:t>
      </w:r>
      <w:r w:rsidRPr="00565B5D">
        <w:rPr>
          <w:color w:val="548DD4" w:themeColor="text2" w:themeTint="99"/>
          <w:sz w:val="20"/>
          <w:szCs w:val="20"/>
        </w:rPr>
        <w:fldChar w:fldCharType="end"/>
      </w:r>
      <w:r w:rsidRPr="00565B5D">
        <w:rPr>
          <w:color w:val="548DD4" w:themeColor="text2" w:themeTint="99"/>
          <w:sz w:val="20"/>
          <w:szCs w:val="20"/>
        </w:rPr>
        <w:t xml:space="preserve"> </w:t>
      </w:r>
    </w:p>
    <w:p w14:paraId="3F29D0F6" w14:textId="77777777" w:rsidR="00BB46EC" w:rsidRPr="00BB46EC" w:rsidRDefault="00BB46EC" w:rsidP="007F66EC">
      <w:pPr>
        <w:pStyle w:val="Nadpis1"/>
        <w:numPr>
          <w:ilvl w:val="0"/>
          <w:numId w:val="2"/>
        </w:numPr>
      </w:pPr>
      <w:bookmarkStart w:id="0" w:name="_Ref411874233"/>
      <w:r w:rsidRPr="00BB46EC">
        <w:t>Kontext</w:t>
      </w:r>
      <w:bookmarkEnd w:id="0"/>
    </w:p>
    <w:p w14:paraId="424251FF" w14:textId="77777777" w:rsidR="0031649E" w:rsidRDefault="0031649E" w:rsidP="00105EB7">
      <w:pPr>
        <w:jc w:val="both"/>
        <w:rPr>
          <w:sz w:val="24"/>
          <w:szCs w:val="24"/>
        </w:rPr>
      </w:pPr>
      <w:r w:rsidRPr="0031649E">
        <w:rPr>
          <w:sz w:val="24"/>
          <w:szCs w:val="24"/>
        </w:rPr>
        <w:t>Smernica EÚ o podpore využívania obnoviteľných zdrojov energie (OZE) (2009/28/EC) ukladá členským krajinám EÚ povinnosť zabezpečiť do roku 2020 10% energie v sektore dopravy z obnoviteľných zdrojov</w:t>
      </w:r>
      <w:r w:rsidR="002C16C9">
        <w:rPr>
          <w:sz w:val="24"/>
          <w:szCs w:val="24"/>
        </w:rPr>
        <w:t>. Zároveň</w:t>
      </w:r>
      <w:r>
        <w:rPr>
          <w:sz w:val="24"/>
          <w:szCs w:val="24"/>
        </w:rPr>
        <w:t>, smernica 98/70/EC o Kvalite palív obsahuje povinný cieľ 6%-h</w:t>
      </w:r>
      <w:r w:rsidR="009B41F2">
        <w:rPr>
          <w:sz w:val="24"/>
          <w:szCs w:val="24"/>
        </w:rPr>
        <w:t>o zníženia</w:t>
      </w:r>
      <w:r>
        <w:rPr>
          <w:sz w:val="24"/>
          <w:szCs w:val="24"/>
        </w:rPr>
        <w:t xml:space="preserve"> uhlíkovej intenzity palív. Používanie biopalív v doprave je hlavným príspevkom k dosahovaniu týchto cieľov</w:t>
      </w:r>
      <w:r w:rsidR="009B41F2">
        <w:rPr>
          <w:sz w:val="24"/>
          <w:szCs w:val="24"/>
        </w:rPr>
        <w:t xml:space="preserve">. </w:t>
      </w:r>
    </w:p>
    <w:p w14:paraId="05507B4F" w14:textId="77777777" w:rsidR="009B41F2" w:rsidRDefault="009B41F2" w:rsidP="00105EB7">
      <w:pPr>
        <w:jc w:val="both"/>
        <w:rPr>
          <w:sz w:val="24"/>
          <w:szCs w:val="24"/>
        </w:rPr>
      </w:pPr>
      <w:r>
        <w:rPr>
          <w:sz w:val="24"/>
          <w:szCs w:val="24"/>
        </w:rPr>
        <w:t>Vzhľadom k narastajúc</w:t>
      </w:r>
      <w:r w:rsidR="002C16C9">
        <w:rPr>
          <w:sz w:val="24"/>
          <w:szCs w:val="24"/>
        </w:rPr>
        <w:t>emu množstvu vedeckých dôkazov o</w:t>
      </w:r>
      <w:r>
        <w:rPr>
          <w:sz w:val="24"/>
          <w:szCs w:val="24"/>
        </w:rPr>
        <w:t> negatívnych environmentálnych a sociálnych vplyvoch súčasne používaných biopalív, Európska komisia predložila v roku 2012 návr</w:t>
      </w:r>
      <w:r w:rsidR="002C16C9">
        <w:rPr>
          <w:sz w:val="24"/>
          <w:szCs w:val="24"/>
        </w:rPr>
        <w:t>h revízie politiky. Prvé štádium legislatívneho procesu (prvé čítanie)</w:t>
      </w:r>
      <w:r>
        <w:rPr>
          <w:sz w:val="24"/>
          <w:szCs w:val="24"/>
        </w:rPr>
        <w:t xml:space="preserve"> bolo ukončené na jeseň 2014.</w:t>
      </w:r>
    </w:p>
    <w:p w14:paraId="7B9726BD" w14:textId="27B6D6E4" w:rsidR="00BB46EC" w:rsidRDefault="002C16C9" w:rsidP="00105E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januári tohto roku začalo druhé čítanie a </w:t>
      </w:r>
      <w:r w:rsidR="00BB46EC" w:rsidRPr="0031649E">
        <w:rPr>
          <w:sz w:val="24"/>
          <w:szCs w:val="24"/>
          <w:u w:val="single"/>
        </w:rPr>
        <w:t>24. februára 2015</w:t>
      </w:r>
      <w:r w:rsidR="00BB46EC">
        <w:rPr>
          <w:sz w:val="24"/>
          <w:szCs w:val="24"/>
        </w:rPr>
        <w:t xml:space="preserve"> sa koná kľúčové hlasovanie </w:t>
      </w:r>
      <w:r w:rsidR="002F2513">
        <w:rPr>
          <w:sz w:val="24"/>
          <w:szCs w:val="24"/>
        </w:rPr>
        <w:t xml:space="preserve"> výboru</w:t>
      </w:r>
      <w:r w:rsidR="00BB46EC">
        <w:rPr>
          <w:sz w:val="24"/>
          <w:szCs w:val="24"/>
        </w:rPr>
        <w:t xml:space="preserve"> Európskeho parlamentu</w:t>
      </w:r>
      <w:r w:rsidR="00F4211D">
        <w:rPr>
          <w:sz w:val="24"/>
          <w:szCs w:val="24"/>
        </w:rPr>
        <w:t xml:space="preserve"> (EP)</w:t>
      </w:r>
      <w:r w:rsidR="00BB46EC">
        <w:rPr>
          <w:sz w:val="24"/>
          <w:szCs w:val="24"/>
        </w:rPr>
        <w:t xml:space="preserve"> pre životné prostredie o revizií politiky</w:t>
      </w:r>
      <w:r w:rsidR="002F2513">
        <w:rPr>
          <w:sz w:val="24"/>
          <w:szCs w:val="24"/>
        </w:rPr>
        <w:t xml:space="preserve"> EÚ pre biopalivá</w:t>
      </w:r>
      <w:r w:rsidR="00F4211D">
        <w:rPr>
          <w:sz w:val="24"/>
          <w:szCs w:val="24"/>
        </w:rPr>
        <w:t xml:space="preserve"> v druhom čítaní</w:t>
      </w:r>
      <w:r w:rsidR="00F4211D">
        <w:rPr>
          <w:rStyle w:val="Odkaznapoznmkupodiarou"/>
          <w:sz w:val="24"/>
          <w:szCs w:val="24"/>
        </w:rPr>
        <w:footnoteReference w:id="1"/>
      </w:r>
      <w:r w:rsidR="00F4211D">
        <w:rPr>
          <w:sz w:val="24"/>
          <w:szCs w:val="24"/>
        </w:rPr>
        <w:t xml:space="preserve">. Po schválení pozície Rady EÚ v druhom čítaní (marec 2015) bude nasledovať trialóg medzi EP, Radou EÚ a Európskou Komisiou, </w:t>
      </w:r>
      <w:r w:rsidR="004A6B60">
        <w:rPr>
          <w:sz w:val="24"/>
          <w:szCs w:val="24"/>
        </w:rPr>
        <w:t>ktorý povedie k dohode o revízií</w:t>
      </w:r>
      <w:r w:rsidR="00F4211D">
        <w:rPr>
          <w:sz w:val="24"/>
          <w:szCs w:val="24"/>
        </w:rPr>
        <w:t>, ktorá sa očakáva v apríli 2015. Nové pravidlá budú platiť do roku 2020.</w:t>
      </w:r>
    </w:p>
    <w:p w14:paraId="70B624D5" w14:textId="77777777" w:rsidR="00F4211D" w:rsidRDefault="00F4211D" w:rsidP="007F66EC">
      <w:pPr>
        <w:pStyle w:val="Nadpis1"/>
        <w:numPr>
          <w:ilvl w:val="0"/>
          <w:numId w:val="2"/>
        </w:numPr>
      </w:pPr>
      <w:bookmarkStart w:id="1" w:name="_Ref411874341"/>
      <w:r w:rsidRPr="00F4211D">
        <w:t>Prečo bola potrebná revízia politiky EÚ pre biopalivá</w:t>
      </w:r>
      <w:bookmarkEnd w:id="1"/>
    </w:p>
    <w:p w14:paraId="16AFE91B" w14:textId="77777777" w:rsidR="007F66EC" w:rsidRPr="007F66EC" w:rsidRDefault="007F66EC" w:rsidP="007F66EC">
      <w:pPr>
        <w:pStyle w:val="Odsekzoznamu"/>
      </w:pPr>
    </w:p>
    <w:p w14:paraId="758E6FAC" w14:textId="77777777" w:rsidR="00F4211D" w:rsidRDefault="001543C6" w:rsidP="007F66EC">
      <w:pPr>
        <w:pStyle w:val="Nadpis2"/>
        <w:rPr>
          <w:b w:val="0"/>
        </w:rPr>
      </w:pPr>
      <w:bookmarkStart w:id="2" w:name="_Ref411874374"/>
      <w:r w:rsidRPr="001543C6">
        <w:rPr>
          <w:b w:val="0"/>
        </w:rPr>
        <w:t>2.1</w:t>
      </w:r>
      <w:r w:rsidR="00F05C53" w:rsidRPr="001543C6">
        <w:rPr>
          <w:b w:val="0"/>
        </w:rPr>
        <w:t xml:space="preserve"> </w:t>
      </w:r>
      <w:bookmarkEnd w:id="2"/>
      <w:r w:rsidR="00B935E2">
        <w:rPr>
          <w:b w:val="0"/>
        </w:rPr>
        <w:t>Vynorili sa vážne otázniky ohľadom úspor skleníkových plynov</w:t>
      </w:r>
    </w:p>
    <w:p w14:paraId="46FF96A7" w14:textId="6F33CBBF" w:rsidR="009A244C" w:rsidRDefault="009030E2" w:rsidP="00105EB7">
      <w:pPr>
        <w:spacing w:after="0" w:line="240" w:lineRule="auto"/>
        <w:jc w:val="both"/>
        <w:rPr>
          <w:sz w:val="24"/>
          <w:szCs w:val="24"/>
        </w:rPr>
      </w:pPr>
      <w:r w:rsidRPr="000564DC">
        <w:rPr>
          <w:sz w:val="24"/>
          <w:szCs w:val="24"/>
        </w:rPr>
        <w:t xml:space="preserve">Podpora </w:t>
      </w:r>
      <w:proofErr w:type="spellStart"/>
      <w:r w:rsidRPr="000564DC">
        <w:rPr>
          <w:sz w:val="24"/>
          <w:szCs w:val="24"/>
        </w:rPr>
        <w:t>biopalív</w:t>
      </w:r>
      <w:proofErr w:type="spellEnd"/>
      <w:r w:rsidRPr="000564DC">
        <w:rPr>
          <w:sz w:val="24"/>
          <w:szCs w:val="24"/>
        </w:rPr>
        <w:t xml:space="preserve"> je súčasťou politiky EÚ pre boj s klimatickou zmenou, takže miera úspory skleníkových plynov musí byť jedným z kľúčových parametrov pri je</w:t>
      </w:r>
      <w:r w:rsidR="009A244C">
        <w:rPr>
          <w:sz w:val="24"/>
          <w:szCs w:val="24"/>
        </w:rPr>
        <w:t>j</w:t>
      </w:r>
      <w:r w:rsidRPr="000564DC">
        <w:rPr>
          <w:sz w:val="24"/>
          <w:szCs w:val="24"/>
        </w:rPr>
        <w:t xml:space="preserve"> realizáci</w:t>
      </w:r>
      <w:r w:rsidR="009A244C">
        <w:rPr>
          <w:sz w:val="24"/>
          <w:szCs w:val="24"/>
        </w:rPr>
        <w:t>i</w:t>
      </w:r>
      <w:r w:rsidRPr="000564DC">
        <w:rPr>
          <w:sz w:val="24"/>
          <w:szCs w:val="24"/>
        </w:rPr>
        <w:t>.</w:t>
      </w:r>
      <w:r w:rsidR="00105EB7" w:rsidRPr="000564DC">
        <w:rPr>
          <w:sz w:val="24"/>
          <w:szCs w:val="24"/>
        </w:rPr>
        <w:t xml:space="preserve"> Členské krajiny by mali aktívne podporovať (napr. daňovým zvýhodnením) a zarátavať do cieľov iba biopalivá, pri ktorých dochádza k významným úsporám</w:t>
      </w:r>
      <w:r w:rsidR="00105EB7" w:rsidRPr="000564DC">
        <w:rPr>
          <w:sz w:val="24"/>
          <w:szCs w:val="24"/>
          <w:vertAlign w:val="superscript"/>
        </w:rPr>
        <w:footnoteReference w:id="2"/>
      </w:r>
      <w:r w:rsidR="00105EB7" w:rsidRPr="000564DC">
        <w:rPr>
          <w:sz w:val="24"/>
          <w:szCs w:val="24"/>
          <w:vertAlign w:val="superscript"/>
        </w:rPr>
        <w:t xml:space="preserve"> </w:t>
      </w:r>
      <w:r w:rsidR="00105EB7" w:rsidRPr="000564DC">
        <w:rPr>
          <w:sz w:val="24"/>
          <w:szCs w:val="24"/>
        </w:rPr>
        <w:t xml:space="preserve">skleníkových plynov v porovnaní s fosílnymi palivami, a ktoré spĺňajú </w:t>
      </w:r>
      <w:r w:rsidR="00B43C95">
        <w:rPr>
          <w:sz w:val="24"/>
          <w:szCs w:val="24"/>
        </w:rPr>
        <w:t xml:space="preserve">ďalšie </w:t>
      </w:r>
      <w:r w:rsidR="00105EB7" w:rsidRPr="000564DC">
        <w:rPr>
          <w:sz w:val="24"/>
          <w:szCs w:val="24"/>
        </w:rPr>
        <w:t>kritéria udržateľnosti</w:t>
      </w:r>
      <w:r w:rsidR="00B43C95">
        <w:rPr>
          <w:sz w:val="24"/>
          <w:szCs w:val="24"/>
        </w:rPr>
        <w:t xml:space="preserve"> ku ktorým patrí povinnosť zaručiť, že pestovaním</w:t>
      </w:r>
      <w:r w:rsidR="008332CA">
        <w:rPr>
          <w:sz w:val="24"/>
          <w:szCs w:val="24"/>
        </w:rPr>
        <w:t xml:space="preserve"> plodín pre </w:t>
      </w:r>
      <w:proofErr w:type="spellStart"/>
      <w:r w:rsidR="008332CA">
        <w:rPr>
          <w:sz w:val="24"/>
          <w:szCs w:val="24"/>
        </w:rPr>
        <w:t>bio</w:t>
      </w:r>
      <w:r w:rsidR="00B43C95">
        <w:rPr>
          <w:sz w:val="24"/>
          <w:szCs w:val="24"/>
        </w:rPr>
        <w:t>palivá</w:t>
      </w:r>
      <w:proofErr w:type="spellEnd"/>
      <w:r w:rsidR="00B43C95">
        <w:rPr>
          <w:sz w:val="24"/>
          <w:szCs w:val="24"/>
        </w:rPr>
        <w:t xml:space="preserve"> nedošlo k zničeniu ekologicky vzácnych ekosystémov  (pôvodné lesy, mokrade, trvalé trávne porasty </w:t>
      </w:r>
      <w:proofErr w:type="spellStart"/>
      <w:r w:rsidR="00B43C95">
        <w:rPr>
          <w:sz w:val="24"/>
          <w:szCs w:val="24"/>
        </w:rPr>
        <w:t>atď</w:t>
      </w:r>
      <w:proofErr w:type="spellEnd"/>
      <w:r w:rsidR="00B43C95">
        <w:rPr>
          <w:sz w:val="24"/>
          <w:szCs w:val="24"/>
        </w:rPr>
        <w:t>)</w:t>
      </w:r>
      <w:r w:rsidR="00105EB7" w:rsidRPr="000564DC">
        <w:rPr>
          <w:sz w:val="24"/>
          <w:szCs w:val="24"/>
        </w:rPr>
        <w:t xml:space="preserve">. </w:t>
      </w:r>
      <w:r w:rsidR="00B43C95">
        <w:rPr>
          <w:rStyle w:val="Odkaznapoznmkupodiarou"/>
          <w:sz w:val="24"/>
          <w:szCs w:val="24"/>
        </w:rPr>
        <w:footnoteReference w:id="3"/>
      </w:r>
    </w:p>
    <w:p w14:paraId="6F658BBA" w14:textId="77777777" w:rsidR="009A244C" w:rsidRDefault="009A244C" w:rsidP="00105EB7">
      <w:pPr>
        <w:spacing w:after="0" w:line="240" w:lineRule="auto"/>
        <w:jc w:val="both"/>
        <w:rPr>
          <w:sz w:val="24"/>
          <w:szCs w:val="24"/>
        </w:rPr>
      </w:pPr>
    </w:p>
    <w:p w14:paraId="7BF10EB8" w14:textId="123DB794" w:rsidR="004D46BA" w:rsidRDefault="004626A4" w:rsidP="00105EB7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59264" behindDoc="0" locked="0" layoutInCell="1" allowOverlap="1" wp14:anchorId="3CF7550B" wp14:editId="45DF95BE">
            <wp:simplePos x="0" y="0"/>
            <wp:positionH relativeFrom="column">
              <wp:posOffset>-3175</wp:posOffset>
            </wp:positionH>
            <wp:positionV relativeFrom="paragraph">
              <wp:posOffset>2420620</wp:posOffset>
            </wp:positionV>
            <wp:extent cx="5760720" cy="4320540"/>
            <wp:effectExtent l="0" t="0" r="0" b="381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UC slid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C95">
        <w:rPr>
          <w:sz w:val="24"/>
          <w:szCs w:val="24"/>
        </w:rPr>
        <w:t xml:space="preserve">Problém je, že pestovanie plodín pre výrobu </w:t>
      </w:r>
      <w:proofErr w:type="spellStart"/>
      <w:r w:rsidR="00B43C95">
        <w:rPr>
          <w:sz w:val="24"/>
          <w:szCs w:val="24"/>
        </w:rPr>
        <w:t>biopalív</w:t>
      </w:r>
      <w:proofErr w:type="spellEnd"/>
      <w:r w:rsidR="00B43C95">
        <w:rPr>
          <w:sz w:val="24"/>
          <w:szCs w:val="24"/>
        </w:rPr>
        <w:t xml:space="preserve"> vyžaduje </w:t>
      </w:r>
      <w:r w:rsidR="008332CA">
        <w:rPr>
          <w:sz w:val="24"/>
          <w:szCs w:val="24"/>
        </w:rPr>
        <w:t>značnú rozlohu pôdy</w:t>
      </w:r>
      <w:r w:rsidR="00893422">
        <w:rPr>
          <w:sz w:val="24"/>
          <w:szCs w:val="24"/>
        </w:rPr>
        <w:t>. A keďže vďaka</w:t>
      </w:r>
      <w:r w:rsidR="008332CA">
        <w:rPr>
          <w:sz w:val="24"/>
          <w:szCs w:val="24"/>
        </w:rPr>
        <w:t xml:space="preserve"> vyššie spomenutým</w:t>
      </w:r>
      <w:r w:rsidR="00893422">
        <w:rPr>
          <w:sz w:val="24"/>
          <w:szCs w:val="24"/>
        </w:rPr>
        <w:t xml:space="preserve"> </w:t>
      </w:r>
      <w:r w:rsidR="008332CA">
        <w:rPr>
          <w:sz w:val="24"/>
          <w:szCs w:val="24"/>
        </w:rPr>
        <w:t>kritériám</w:t>
      </w:r>
      <w:r w:rsidR="00893422">
        <w:rPr>
          <w:sz w:val="24"/>
          <w:szCs w:val="24"/>
        </w:rPr>
        <w:t xml:space="preserve"> udržateľnosti zakotveným v Smernici o podpore OZE</w:t>
      </w:r>
      <w:r w:rsidR="008332CA">
        <w:rPr>
          <w:sz w:val="24"/>
          <w:szCs w:val="24"/>
        </w:rPr>
        <w:t>,</w:t>
      </w:r>
      <w:r w:rsidR="00893422">
        <w:rPr>
          <w:sz w:val="24"/>
          <w:szCs w:val="24"/>
        </w:rPr>
        <w:t xml:space="preserve"> plodiny pre výrobu </w:t>
      </w:r>
      <w:proofErr w:type="spellStart"/>
      <w:r w:rsidR="00893422">
        <w:rPr>
          <w:sz w:val="24"/>
          <w:szCs w:val="24"/>
        </w:rPr>
        <w:t>biopalív</w:t>
      </w:r>
      <w:proofErr w:type="spellEnd"/>
      <w:r w:rsidR="00893422">
        <w:rPr>
          <w:sz w:val="24"/>
          <w:szCs w:val="24"/>
        </w:rPr>
        <w:t xml:space="preserve"> sa nemôžu pestovať na</w:t>
      </w:r>
      <w:r w:rsidR="004A6B60">
        <w:rPr>
          <w:sz w:val="24"/>
          <w:szCs w:val="24"/>
        </w:rPr>
        <w:t xml:space="preserve"> novej</w:t>
      </w:r>
      <w:r w:rsidR="00893422">
        <w:rPr>
          <w:sz w:val="24"/>
          <w:szCs w:val="24"/>
        </w:rPr>
        <w:t xml:space="preserve"> pôde, ktorá by bola získaná zničením vzácnych ekosystémov, pestujú sa tieto plodiny na existujúcej po</w:t>
      </w:r>
      <w:r w:rsidR="008332CA">
        <w:rPr>
          <w:sz w:val="24"/>
          <w:szCs w:val="24"/>
        </w:rPr>
        <w:t xml:space="preserve">ľnohospodárskej pôde. Čiže </w:t>
      </w:r>
      <w:proofErr w:type="spellStart"/>
      <w:r w:rsidR="008332CA">
        <w:rPr>
          <w:sz w:val="24"/>
          <w:szCs w:val="24"/>
        </w:rPr>
        <w:t>biopalivá</w:t>
      </w:r>
      <w:proofErr w:type="spellEnd"/>
      <w:r w:rsidR="008332CA">
        <w:rPr>
          <w:sz w:val="24"/>
          <w:szCs w:val="24"/>
        </w:rPr>
        <w:t xml:space="preserve"> zaberajú pôdu, ktor</w:t>
      </w:r>
      <w:r w:rsidR="004A6B60">
        <w:rPr>
          <w:sz w:val="24"/>
          <w:szCs w:val="24"/>
        </w:rPr>
        <w:t>á mala</w:t>
      </w:r>
      <w:r w:rsidR="008332CA">
        <w:rPr>
          <w:sz w:val="24"/>
          <w:szCs w:val="24"/>
        </w:rPr>
        <w:t xml:space="preserve"> slúžiť na nasýtenie narastajúcej svetovej populácie. </w:t>
      </w:r>
      <w:r w:rsidR="00893422">
        <w:rPr>
          <w:sz w:val="24"/>
          <w:szCs w:val="24"/>
        </w:rPr>
        <w:t>Toto spôsobuje, že dochádza k ničeniu prírodných ekosystémov s cieľom získať novú pôdu pre pestovanie potravín.  Premenou týchto ekosystémov (tropické pralesy, rašeliniská)</w:t>
      </w:r>
      <w:r w:rsidR="008332CA">
        <w:rPr>
          <w:sz w:val="24"/>
          <w:szCs w:val="24"/>
        </w:rPr>
        <w:t xml:space="preserve"> na ornú pôdu</w:t>
      </w:r>
      <w:r w:rsidR="00893422">
        <w:rPr>
          <w:sz w:val="24"/>
          <w:szCs w:val="24"/>
        </w:rPr>
        <w:t xml:space="preserve"> dochádza k uvoľňovaniu skleníkových plynov do ovzdušia – čiže </w:t>
      </w:r>
      <w:r w:rsidR="008332CA">
        <w:rPr>
          <w:sz w:val="24"/>
          <w:szCs w:val="24"/>
        </w:rPr>
        <w:t>vznikajú emisie z dôvodu nepriamej zmeny</w:t>
      </w:r>
      <w:r w:rsidR="00893422">
        <w:rPr>
          <w:sz w:val="24"/>
          <w:szCs w:val="24"/>
        </w:rPr>
        <w:t xml:space="preserve"> vo využívaní pôdy tzv. ILUC</w:t>
      </w:r>
      <w:r w:rsidR="008332CA">
        <w:rPr>
          <w:rStyle w:val="Odkaznapoznmkupodiarou"/>
          <w:sz w:val="24"/>
          <w:szCs w:val="24"/>
        </w:rPr>
        <w:footnoteReference w:id="4"/>
      </w:r>
      <w:r w:rsidR="00893422">
        <w:rPr>
          <w:sz w:val="24"/>
          <w:szCs w:val="24"/>
        </w:rPr>
        <w:t>.</w:t>
      </w:r>
      <w:r w:rsidR="008332CA">
        <w:rPr>
          <w:sz w:val="24"/>
          <w:szCs w:val="24"/>
        </w:rPr>
        <w:t xml:space="preserve">  V súčasnosti už e</w:t>
      </w:r>
      <w:r w:rsidR="00105EB7" w:rsidRPr="000564DC">
        <w:rPr>
          <w:sz w:val="24"/>
          <w:szCs w:val="24"/>
        </w:rPr>
        <w:t>xistuje množstvo vedeckých dôkazov</w:t>
      </w:r>
      <w:r w:rsidR="009E3B18" w:rsidRPr="000564DC">
        <w:rPr>
          <w:sz w:val="24"/>
          <w:szCs w:val="24"/>
        </w:rPr>
        <w:t xml:space="preserve"> (napr. EEA</w:t>
      </w:r>
      <w:r w:rsidR="009E3B18" w:rsidRPr="000564DC">
        <w:rPr>
          <w:rStyle w:val="Odkaznapoznmkupodiarou"/>
          <w:sz w:val="24"/>
          <w:szCs w:val="24"/>
        </w:rPr>
        <w:footnoteReference w:id="5"/>
      </w:r>
      <w:r w:rsidR="00105EB7" w:rsidRPr="000564DC">
        <w:rPr>
          <w:sz w:val="24"/>
          <w:szCs w:val="24"/>
        </w:rPr>
        <w:t>,</w:t>
      </w:r>
      <w:r w:rsidR="009E3B18" w:rsidRPr="000564DC">
        <w:rPr>
          <w:sz w:val="24"/>
          <w:szCs w:val="24"/>
        </w:rPr>
        <w:t xml:space="preserve"> JRC</w:t>
      </w:r>
      <w:r w:rsidR="009E3B18" w:rsidRPr="000564DC">
        <w:rPr>
          <w:rStyle w:val="Odkaznapoznmkupodiarou"/>
          <w:sz w:val="24"/>
          <w:szCs w:val="24"/>
        </w:rPr>
        <w:footnoteReference w:id="6"/>
      </w:r>
      <w:r w:rsidR="00105EB7" w:rsidRPr="000564DC">
        <w:rPr>
          <w:sz w:val="24"/>
          <w:szCs w:val="24"/>
        </w:rPr>
        <w:t xml:space="preserve"> </w:t>
      </w:r>
      <w:r w:rsidR="00311900">
        <w:rPr>
          <w:sz w:val="24"/>
          <w:szCs w:val="24"/>
        </w:rPr>
        <w:t xml:space="preserve">) </w:t>
      </w:r>
      <w:r w:rsidR="00105EB7" w:rsidRPr="000564DC">
        <w:rPr>
          <w:sz w:val="24"/>
          <w:szCs w:val="24"/>
        </w:rPr>
        <w:t xml:space="preserve">ktoré poukazujú na vplyv nepriamej zmeny vo využívaní </w:t>
      </w:r>
      <w:r w:rsidR="000D1F95">
        <w:rPr>
          <w:sz w:val="24"/>
          <w:szCs w:val="24"/>
        </w:rPr>
        <w:t xml:space="preserve"> pôdy </w:t>
      </w:r>
      <w:r w:rsidR="00105EB7" w:rsidRPr="000564DC">
        <w:rPr>
          <w:sz w:val="24"/>
          <w:szCs w:val="24"/>
        </w:rPr>
        <w:t xml:space="preserve">pri stanovení celkovej </w:t>
      </w:r>
      <w:r w:rsidR="008332CA">
        <w:rPr>
          <w:sz w:val="24"/>
          <w:szCs w:val="24"/>
        </w:rPr>
        <w:t xml:space="preserve">uhlíkovej bilancie </w:t>
      </w:r>
      <w:proofErr w:type="spellStart"/>
      <w:r w:rsidR="008332CA">
        <w:rPr>
          <w:sz w:val="24"/>
          <w:szCs w:val="24"/>
        </w:rPr>
        <w:t>biopalív</w:t>
      </w:r>
      <w:proofErr w:type="spellEnd"/>
      <w:r w:rsidR="008332CA">
        <w:rPr>
          <w:sz w:val="24"/>
          <w:szCs w:val="24"/>
        </w:rPr>
        <w:t xml:space="preserve"> a poukazujú na fakt, že úspory skleníkových plynov pri </w:t>
      </w:r>
      <w:proofErr w:type="spellStart"/>
      <w:r w:rsidR="008332CA">
        <w:rPr>
          <w:sz w:val="24"/>
          <w:szCs w:val="24"/>
        </w:rPr>
        <w:t>biopalivách</w:t>
      </w:r>
      <w:proofErr w:type="spellEnd"/>
      <w:r w:rsidR="008332CA">
        <w:rPr>
          <w:sz w:val="24"/>
          <w:szCs w:val="24"/>
        </w:rPr>
        <w:t xml:space="preserve"> pestovaných na poľnohospodárskej pôde sú v dôsledku ILUC minimálne</w:t>
      </w:r>
      <w:r>
        <w:rPr>
          <w:sz w:val="24"/>
          <w:szCs w:val="24"/>
        </w:rPr>
        <w:t>. resp. nedochádza k úsporám v porovnaní s fosílnymi palivami.</w:t>
      </w:r>
    </w:p>
    <w:p w14:paraId="69CE97A9" w14:textId="77777777" w:rsidR="004D46BA" w:rsidRDefault="004D46BA" w:rsidP="00105EB7">
      <w:pPr>
        <w:spacing w:after="0" w:line="240" w:lineRule="auto"/>
        <w:jc w:val="both"/>
        <w:rPr>
          <w:sz w:val="24"/>
          <w:szCs w:val="24"/>
        </w:rPr>
      </w:pPr>
    </w:p>
    <w:p w14:paraId="2B3A454F" w14:textId="77777777" w:rsidR="00565B5D" w:rsidRDefault="00565B5D" w:rsidP="00105EB7">
      <w:pPr>
        <w:spacing w:after="0" w:line="240" w:lineRule="auto"/>
        <w:jc w:val="both"/>
        <w:rPr>
          <w:sz w:val="24"/>
          <w:szCs w:val="24"/>
        </w:rPr>
      </w:pPr>
    </w:p>
    <w:p w14:paraId="26543DB9" w14:textId="08D0ACFD" w:rsidR="008332CA" w:rsidRPr="008332CA" w:rsidRDefault="008332CA" w:rsidP="00833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4"/>
          <w:szCs w:val="24"/>
        </w:rPr>
      </w:pPr>
      <w:r w:rsidRPr="008332CA">
        <w:rPr>
          <w:b/>
          <w:sz w:val="24"/>
          <w:szCs w:val="24"/>
        </w:rPr>
        <w:t>Vplyv ILUC</w:t>
      </w:r>
    </w:p>
    <w:p w14:paraId="680C0C88" w14:textId="11C87067" w:rsidR="00105EB7" w:rsidRPr="0092303E" w:rsidRDefault="00105EB7" w:rsidP="00833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</w:rPr>
      </w:pPr>
      <w:r w:rsidRPr="0092303E">
        <w:rPr>
          <w:sz w:val="20"/>
          <w:szCs w:val="20"/>
        </w:rPr>
        <w:t xml:space="preserve">Zvýšený dopyt po </w:t>
      </w:r>
      <w:proofErr w:type="spellStart"/>
      <w:r w:rsidRPr="0092303E">
        <w:rPr>
          <w:sz w:val="20"/>
          <w:szCs w:val="20"/>
        </w:rPr>
        <w:t>biopalivách</w:t>
      </w:r>
      <w:proofErr w:type="spellEnd"/>
      <w:r w:rsidRPr="0092303E">
        <w:rPr>
          <w:sz w:val="20"/>
          <w:szCs w:val="20"/>
        </w:rPr>
        <w:t xml:space="preserve"> stimulovaný politikou EÚ spôsobuje, že plodiny na výrobu biopalív (napr. kukurica, repka olejná) nahrádzajú pôvodne pestované potravinové plodiny. Avšak dopyt po plodinách a krmovinách pestovaných na tej pôde pôvodne nezanikne, a produkcia sa presunie niekde inde. Táto narastajúca potreba pôdy vedie k ničeniu vzácnych ekosystémov ako lesy, rašeliniská, trvalé trávne porasty, ktoré sú premieňané na ornú pôdu.</w:t>
      </w:r>
      <w:r w:rsidR="00C42DD8" w:rsidRPr="0092303E">
        <w:rPr>
          <w:sz w:val="20"/>
          <w:szCs w:val="20"/>
        </w:rPr>
        <w:t xml:space="preserve"> K odlesňovaniu dochádza predovšetkým v tropických krajinách ako Malajzia </w:t>
      </w:r>
      <w:r w:rsidR="00C42DD8" w:rsidRPr="0092303E">
        <w:rPr>
          <w:sz w:val="20"/>
          <w:szCs w:val="20"/>
        </w:rPr>
        <w:lastRenderedPageBreak/>
        <w:t xml:space="preserve">alebo </w:t>
      </w:r>
      <w:hyperlink r:id="rId10" w:history="1">
        <w:r w:rsidR="00C42DD8" w:rsidRPr="0092303E">
          <w:rPr>
            <w:rStyle w:val="Hypertextovprepojenie"/>
            <w:sz w:val="20"/>
            <w:szCs w:val="20"/>
          </w:rPr>
          <w:t>Indonézia</w:t>
        </w:r>
      </w:hyperlink>
      <w:r w:rsidR="00C42DD8" w:rsidRPr="0092303E">
        <w:rPr>
          <w:sz w:val="20"/>
          <w:szCs w:val="20"/>
        </w:rPr>
        <w:t>.</w:t>
      </w:r>
      <w:r w:rsidRPr="0092303E">
        <w:rPr>
          <w:sz w:val="20"/>
          <w:szCs w:val="20"/>
        </w:rPr>
        <w:t xml:space="preserve"> Následkom je obrovská strata biodiverzity, ale aj výrazný nárast emisií skleníkových plynov unikajúcich do atmosféry pri premene pôdy. </w:t>
      </w:r>
      <w:r w:rsidR="00ED0712" w:rsidRPr="0092303E">
        <w:rPr>
          <w:sz w:val="20"/>
          <w:szCs w:val="20"/>
        </w:rPr>
        <w:t>Podľa štúdie IEEP</w:t>
      </w:r>
      <w:r w:rsidR="00ED0712" w:rsidRPr="0092303E">
        <w:rPr>
          <w:rStyle w:val="Odkaznapoznmkupodiarou"/>
          <w:sz w:val="20"/>
          <w:szCs w:val="20"/>
        </w:rPr>
        <w:footnoteReference w:id="7"/>
      </w:r>
      <w:r w:rsidR="00ED0712" w:rsidRPr="0092303E">
        <w:rPr>
          <w:sz w:val="20"/>
          <w:szCs w:val="20"/>
        </w:rPr>
        <w:t xml:space="preserve">, </w:t>
      </w:r>
      <w:r w:rsidR="0036561A" w:rsidRPr="0092303E">
        <w:rPr>
          <w:sz w:val="20"/>
          <w:szCs w:val="20"/>
        </w:rPr>
        <w:t>ak by nedošlo k zmene súčasnej politiky, dopyt po biopalivách do roku 2020 by mohol viesť k premene až 69 000 km</w:t>
      </w:r>
      <w:r w:rsidR="00511D76" w:rsidRPr="0092303E">
        <w:rPr>
          <w:sz w:val="20"/>
          <w:szCs w:val="20"/>
          <w:vertAlign w:val="superscript"/>
        </w:rPr>
        <w:t xml:space="preserve">2 </w:t>
      </w:r>
      <w:r w:rsidR="0036561A" w:rsidRPr="0092303E">
        <w:rPr>
          <w:sz w:val="20"/>
          <w:szCs w:val="20"/>
        </w:rPr>
        <w:t xml:space="preserve">prírodných ekosystémov na poľnohospodársku pôdu a tým by došlo k uvoľneniu ďalších 12 až 26 milónov </w:t>
      </w:r>
      <w:r w:rsidR="00ED0712" w:rsidRPr="0092303E">
        <w:rPr>
          <w:sz w:val="20"/>
          <w:szCs w:val="20"/>
        </w:rPr>
        <w:t>kubických ton CO</w:t>
      </w:r>
      <w:r w:rsidR="0036561A" w:rsidRPr="0092303E">
        <w:rPr>
          <w:sz w:val="20"/>
          <w:szCs w:val="20"/>
          <w:vertAlign w:val="subscript"/>
        </w:rPr>
        <w:t xml:space="preserve">2 </w:t>
      </w:r>
      <w:r w:rsidR="0036561A" w:rsidRPr="0092303E">
        <w:rPr>
          <w:sz w:val="20"/>
          <w:szCs w:val="20"/>
        </w:rPr>
        <w:t>ročne, č</w:t>
      </w:r>
      <w:r w:rsidR="00ED0712" w:rsidRPr="0092303E">
        <w:rPr>
          <w:sz w:val="20"/>
          <w:szCs w:val="20"/>
        </w:rPr>
        <w:t xml:space="preserve">o sa </w:t>
      </w:r>
      <w:r w:rsidR="0036561A" w:rsidRPr="0092303E">
        <w:rPr>
          <w:sz w:val="20"/>
          <w:szCs w:val="20"/>
        </w:rPr>
        <w:t>približne rovná pridaniu 12 až 26</w:t>
      </w:r>
      <w:r w:rsidR="00ED0712" w:rsidRPr="0092303E">
        <w:rPr>
          <w:sz w:val="20"/>
          <w:szCs w:val="20"/>
        </w:rPr>
        <w:t xml:space="preserve"> miliónov nových áut na Európske cesty. </w:t>
      </w:r>
      <w:r w:rsidR="0036561A" w:rsidRPr="0092303E">
        <w:rPr>
          <w:sz w:val="20"/>
          <w:szCs w:val="20"/>
        </w:rPr>
        <w:t xml:space="preserve"> Takže politika, ktorá je </w:t>
      </w:r>
      <w:r w:rsidR="00311900" w:rsidRPr="0092303E">
        <w:rPr>
          <w:sz w:val="20"/>
          <w:szCs w:val="20"/>
        </w:rPr>
        <w:t xml:space="preserve"> v EÚ </w:t>
      </w:r>
      <w:r w:rsidR="0036561A" w:rsidRPr="0092303E">
        <w:rPr>
          <w:sz w:val="20"/>
          <w:szCs w:val="20"/>
        </w:rPr>
        <w:t>z verejných zdrojov podporovaná sumou 6 miliárd ročne</w:t>
      </w:r>
      <w:r w:rsidR="00265230" w:rsidRPr="0092303E">
        <w:rPr>
          <w:rStyle w:val="Odkaznapoznmkupodiarou"/>
          <w:sz w:val="20"/>
          <w:szCs w:val="20"/>
        </w:rPr>
        <w:footnoteReference w:id="8"/>
      </w:r>
      <w:r w:rsidR="0036561A" w:rsidRPr="0092303E">
        <w:rPr>
          <w:sz w:val="20"/>
          <w:szCs w:val="20"/>
        </w:rPr>
        <w:t xml:space="preserve"> neplní svoj prvotný cieľ a navyše prispieva k ekologickej deštrukcii.</w:t>
      </w:r>
    </w:p>
    <w:p w14:paraId="3149A3AF" w14:textId="77777777" w:rsidR="00C42DD8" w:rsidRDefault="00C42DD8" w:rsidP="00BB46EC">
      <w:pPr>
        <w:ind w:left="360"/>
        <w:rPr>
          <w:sz w:val="24"/>
          <w:szCs w:val="24"/>
        </w:rPr>
      </w:pPr>
    </w:p>
    <w:p w14:paraId="71194816" w14:textId="77777777" w:rsidR="00C42DD8" w:rsidRDefault="001543C6" w:rsidP="007F66EC">
      <w:pPr>
        <w:pStyle w:val="Nadpis2"/>
        <w:rPr>
          <w:b w:val="0"/>
        </w:rPr>
      </w:pPr>
      <w:r w:rsidRPr="001543C6">
        <w:rPr>
          <w:b w:val="0"/>
        </w:rPr>
        <w:t>2.2</w:t>
      </w:r>
      <w:r w:rsidR="006D72EF" w:rsidRPr="001543C6">
        <w:rPr>
          <w:b w:val="0"/>
        </w:rPr>
        <w:t xml:space="preserve"> Pestovanie biopalív konkuruje pestovaniu potravín a spôsobuje rast cien potravín</w:t>
      </w:r>
    </w:p>
    <w:p w14:paraId="0B2F6991" w14:textId="518CDB6F" w:rsidR="003269B8" w:rsidRDefault="00511D76" w:rsidP="00E963F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Biop</w:t>
      </w:r>
      <w:r w:rsidR="001B3A94">
        <w:rPr>
          <w:sz w:val="24"/>
          <w:szCs w:val="24"/>
        </w:rPr>
        <w:t>alivá</w:t>
      </w:r>
      <w:proofErr w:type="spellEnd"/>
      <w:r w:rsidR="001B3A94">
        <w:rPr>
          <w:sz w:val="24"/>
          <w:szCs w:val="24"/>
        </w:rPr>
        <w:t xml:space="preserve"> prvej generácie, ktoré na trhu momentálne dominujú sú vyrábané s poľnohospodárskych </w:t>
      </w:r>
      <w:r w:rsidR="00E963F6">
        <w:rPr>
          <w:sz w:val="24"/>
          <w:szCs w:val="24"/>
        </w:rPr>
        <w:t xml:space="preserve">plodín, takže </w:t>
      </w:r>
      <w:r w:rsidR="000564DC">
        <w:rPr>
          <w:sz w:val="24"/>
          <w:szCs w:val="24"/>
        </w:rPr>
        <w:t xml:space="preserve"> </w:t>
      </w:r>
      <w:r w:rsidR="00E963F6">
        <w:rPr>
          <w:sz w:val="24"/>
          <w:szCs w:val="24"/>
        </w:rPr>
        <w:t xml:space="preserve">konkurujú výrobe potravín. </w:t>
      </w:r>
      <w:proofErr w:type="spellStart"/>
      <w:r w:rsidR="009A244C">
        <w:rPr>
          <w:sz w:val="24"/>
          <w:szCs w:val="24"/>
        </w:rPr>
        <w:t>Bioetanol</w:t>
      </w:r>
      <w:proofErr w:type="spellEnd"/>
      <w:r w:rsidR="009A244C">
        <w:rPr>
          <w:sz w:val="24"/>
          <w:szCs w:val="24"/>
        </w:rPr>
        <w:t xml:space="preserve"> </w:t>
      </w:r>
      <w:r w:rsidR="001B3A94">
        <w:rPr>
          <w:sz w:val="24"/>
          <w:szCs w:val="24"/>
        </w:rPr>
        <w:t>sa vyrába z cukornatých  alebo škrobnatých plodín ( napr. kukurica</w:t>
      </w:r>
      <w:r w:rsidR="00311900">
        <w:rPr>
          <w:sz w:val="24"/>
          <w:szCs w:val="24"/>
        </w:rPr>
        <w:t>, zemiaky</w:t>
      </w:r>
      <w:r w:rsidR="001B3A94">
        <w:rPr>
          <w:sz w:val="24"/>
          <w:szCs w:val="24"/>
        </w:rPr>
        <w:t>)  a biodiesel z olejnatých plodín (napr. repka olejná, slnečnica)</w:t>
      </w:r>
      <w:r w:rsidR="00E963F6">
        <w:rPr>
          <w:sz w:val="24"/>
          <w:szCs w:val="24"/>
        </w:rPr>
        <w:t>.</w:t>
      </w:r>
      <w:r w:rsidR="003269B8">
        <w:rPr>
          <w:sz w:val="24"/>
          <w:szCs w:val="24"/>
        </w:rPr>
        <w:t xml:space="preserve"> </w:t>
      </w:r>
      <w:r w:rsidR="003269B8" w:rsidRPr="0092303E">
        <w:rPr>
          <w:b/>
          <w:sz w:val="24"/>
          <w:szCs w:val="24"/>
        </w:rPr>
        <w:t xml:space="preserve">V súčasnosti 65% repky olejnej vypestovanej v EÚ sa použije na výrobu </w:t>
      </w:r>
      <w:proofErr w:type="spellStart"/>
      <w:r w:rsidR="003269B8" w:rsidRPr="0092303E">
        <w:rPr>
          <w:b/>
          <w:sz w:val="24"/>
          <w:szCs w:val="24"/>
        </w:rPr>
        <w:t>biodieslu</w:t>
      </w:r>
      <w:proofErr w:type="spellEnd"/>
      <w:r w:rsidR="003269B8">
        <w:rPr>
          <w:sz w:val="24"/>
          <w:szCs w:val="24"/>
        </w:rPr>
        <w:t>. Ako dopyt po biodiesli narastá musíme viac a viac rastlinných tukov</w:t>
      </w:r>
      <w:r w:rsidR="000564DC">
        <w:rPr>
          <w:sz w:val="24"/>
          <w:szCs w:val="24"/>
        </w:rPr>
        <w:t xml:space="preserve"> dovážať z krajín mimo EÚ</w:t>
      </w:r>
      <w:r w:rsidR="003269B8">
        <w:rPr>
          <w:sz w:val="24"/>
          <w:szCs w:val="24"/>
        </w:rPr>
        <w:t xml:space="preserve">. </w:t>
      </w:r>
      <w:r w:rsidR="008332CA">
        <w:rPr>
          <w:sz w:val="24"/>
          <w:szCs w:val="24"/>
        </w:rPr>
        <w:t xml:space="preserve"> Napr. Slovensko sa stalo z čistého exportéra rastlinných olejov čistým importérom. (pozri rámik nižšie</w:t>
      </w:r>
      <w:r w:rsidR="004A6B60">
        <w:rPr>
          <w:sz w:val="24"/>
          <w:szCs w:val="24"/>
        </w:rPr>
        <w:t xml:space="preserve"> </w:t>
      </w:r>
      <w:proofErr w:type="spellStart"/>
      <w:r w:rsidR="004A6B60">
        <w:rPr>
          <w:sz w:val="24"/>
          <w:szCs w:val="24"/>
        </w:rPr>
        <w:t>Biopalivá</w:t>
      </w:r>
      <w:proofErr w:type="spellEnd"/>
      <w:r w:rsidR="004A6B60">
        <w:rPr>
          <w:sz w:val="24"/>
          <w:szCs w:val="24"/>
        </w:rPr>
        <w:t xml:space="preserve"> na Slovensku</w:t>
      </w:r>
      <w:r w:rsidR="008332CA">
        <w:rPr>
          <w:sz w:val="24"/>
          <w:szCs w:val="24"/>
        </w:rPr>
        <w:t xml:space="preserve">) </w:t>
      </w:r>
      <w:r w:rsidR="000564DC">
        <w:rPr>
          <w:sz w:val="24"/>
          <w:szCs w:val="24"/>
        </w:rPr>
        <w:t>Repkov</w:t>
      </w:r>
      <w:r w:rsidR="00311900">
        <w:rPr>
          <w:sz w:val="24"/>
          <w:szCs w:val="24"/>
        </w:rPr>
        <w:t>ý</w:t>
      </w:r>
      <w:r w:rsidR="000564DC">
        <w:rPr>
          <w:sz w:val="24"/>
          <w:szCs w:val="24"/>
        </w:rPr>
        <w:t xml:space="preserve"> olej môže byť nahrádzaný palmovým a d</w:t>
      </w:r>
      <w:r w:rsidR="003269B8">
        <w:rPr>
          <w:sz w:val="24"/>
          <w:szCs w:val="24"/>
        </w:rPr>
        <w:t xml:space="preserve">opyt po </w:t>
      </w:r>
      <w:r w:rsidR="000564DC">
        <w:rPr>
          <w:sz w:val="24"/>
          <w:szCs w:val="24"/>
        </w:rPr>
        <w:t>ňom</w:t>
      </w:r>
      <w:r w:rsidR="003269B8">
        <w:rPr>
          <w:sz w:val="24"/>
          <w:szCs w:val="24"/>
        </w:rPr>
        <w:t xml:space="preserve"> vedie k tlaku na vytváranie novej ornej pôdy, čo sa do veľkej miery deje na úkor pralesov</w:t>
      </w:r>
      <w:r w:rsidR="000564DC">
        <w:rPr>
          <w:sz w:val="24"/>
          <w:szCs w:val="24"/>
        </w:rPr>
        <w:t xml:space="preserve"> a iných vzácnych ekosystémov.</w:t>
      </w:r>
    </w:p>
    <w:p w14:paraId="34F1A955" w14:textId="77777777" w:rsidR="007C39AD" w:rsidRDefault="007C39AD" w:rsidP="00E963F6">
      <w:pPr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 wp14:anchorId="7691A231" wp14:editId="4C0820EB">
            <wp:extent cx="5760720" cy="3272155"/>
            <wp:effectExtent l="0" t="0" r="0" b="444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9EA8F" w14:textId="77777777" w:rsidR="007C39AD" w:rsidRDefault="007C39AD" w:rsidP="00E963F6">
      <w:pPr>
        <w:rPr>
          <w:sz w:val="24"/>
          <w:szCs w:val="24"/>
        </w:rPr>
      </w:pPr>
    </w:p>
    <w:p w14:paraId="4FA85121" w14:textId="77777777" w:rsidR="00E963F6" w:rsidRDefault="003269B8" w:rsidP="00E963F6">
      <w:pPr>
        <w:rPr>
          <w:sz w:val="24"/>
          <w:szCs w:val="24"/>
        </w:rPr>
      </w:pPr>
      <w:r w:rsidRPr="00040642">
        <w:rPr>
          <w:b/>
          <w:sz w:val="24"/>
          <w:szCs w:val="24"/>
        </w:rPr>
        <w:lastRenderedPageBreak/>
        <w:t>Nedostatok pôdy spojený s d</w:t>
      </w:r>
      <w:r w:rsidR="00E963F6" w:rsidRPr="00040642">
        <w:rPr>
          <w:b/>
          <w:sz w:val="24"/>
          <w:szCs w:val="24"/>
        </w:rPr>
        <w:t>opyt</w:t>
      </w:r>
      <w:r w:rsidRPr="00040642">
        <w:rPr>
          <w:b/>
          <w:sz w:val="24"/>
          <w:szCs w:val="24"/>
        </w:rPr>
        <w:t>om</w:t>
      </w:r>
      <w:r w:rsidR="00E963F6" w:rsidRPr="00040642">
        <w:rPr>
          <w:b/>
          <w:sz w:val="24"/>
          <w:szCs w:val="24"/>
        </w:rPr>
        <w:t xml:space="preserve"> po biopalivách pestovaných na poľnohospodárskej pôde v EÚ prispieva k zvyšovaniu cien potravín</w:t>
      </w:r>
      <w:r w:rsidR="000564DC">
        <w:rPr>
          <w:sz w:val="24"/>
          <w:szCs w:val="24"/>
        </w:rPr>
        <w:t xml:space="preserve">. Podľa štúdií by do roku 2020 by </w:t>
      </w:r>
      <w:r w:rsidR="00E963F6">
        <w:rPr>
          <w:sz w:val="24"/>
          <w:szCs w:val="24"/>
        </w:rPr>
        <w:t>cena olejnaných semien mohla narásť o 20% a cena rastlinných tukov o 36%. U kukurice by ceny mohli vzrásť o 22% a u pšenice o 13%</w:t>
      </w:r>
      <w:r w:rsidR="00E963F6" w:rsidRPr="000564DC">
        <w:rPr>
          <w:sz w:val="24"/>
          <w:szCs w:val="24"/>
        </w:rPr>
        <w:t>.</w:t>
      </w:r>
      <w:r w:rsidR="00485288">
        <w:rPr>
          <w:rStyle w:val="Odkaznapoznmkupodiarou"/>
          <w:sz w:val="24"/>
          <w:szCs w:val="24"/>
        </w:rPr>
        <w:footnoteReference w:id="9"/>
      </w:r>
    </w:p>
    <w:p w14:paraId="000DC94E" w14:textId="05788344" w:rsidR="009A244C" w:rsidRDefault="000D1F95" w:rsidP="007C39A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Zástupcovia priemyslu biopalív hovoria o značnom potenciáli voľnej pôdy v rámci EÚ. </w:t>
      </w:r>
      <w:r w:rsidR="007C39AD" w:rsidRPr="007C39AD">
        <w:rPr>
          <w:sz w:val="24"/>
          <w:szCs w:val="24"/>
        </w:rPr>
        <w:t>Podľa štúdie IEEP z roku 2014</w:t>
      </w:r>
      <w:r w:rsidR="007C39AD" w:rsidRPr="000D1F95">
        <w:rPr>
          <w:sz w:val="24"/>
          <w:szCs w:val="24"/>
          <w:vertAlign w:val="superscript"/>
        </w:rPr>
        <w:footnoteReference w:id="10"/>
      </w:r>
      <w:r w:rsidR="007C39AD" w:rsidRPr="007C39AD">
        <w:rPr>
          <w:sz w:val="24"/>
          <w:szCs w:val="24"/>
        </w:rPr>
        <w:t>, ktorej cieľom bolo odhadnúť koľko voľnej pôdy je v EÚ k dispozícií pre pestovanie energetických plodín, sa táto plocha pohybuje v rozmedzí 1 až 1,5 miliónov ha. Tento odhad je považovaný za optimistický a využitie takejto pôdy môže byť limitované socio-ekonomickými faktormi (napr. marginálne</w:t>
      </w:r>
      <w:r w:rsidR="0092303E">
        <w:rPr>
          <w:sz w:val="24"/>
          <w:szCs w:val="24"/>
        </w:rPr>
        <w:t xml:space="preserve"> resp. periférne</w:t>
      </w:r>
      <w:r w:rsidR="007C39AD" w:rsidRPr="007C39AD">
        <w:rPr>
          <w:sz w:val="24"/>
          <w:szCs w:val="24"/>
        </w:rPr>
        <w:t xml:space="preserve"> oblasti). </w:t>
      </w:r>
    </w:p>
    <w:p w14:paraId="763B44C5" w14:textId="77777777" w:rsidR="00207A96" w:rsidRPr="001543C6" w:rsidRDefault="001543C6" w:rsidP="007F66EC">
      <w:pPr>
        <w:pStyle w:val="Nadpis2"/>
        <w:rPr>
          <w:b w:val="0"/>
        </w:rPr>
      </w:pPr>
      <w:r w:rsidRPr="001543C6">
        <w:rPr>
          <w:b w:val="0"/>
        </w:rPr>
        <w:t>2.3</w:t>
      </w:r>
      <w:r w:rsidR="007F66EC" w:rsidRPr="001543C6">
        <w:rPr>
          <w:b w:val="0"/>
        </w:rPr>
        <w:t xml:space="preserve"> Snaha o podporu pokročilých biopalív</w:t>
      </w:r>
    </w:p>
    <w:p w14:paraId="076602A2" w14:textId="0B02B80E" w:rsidR="009A244C" w:rsidRDefault="005C5A29" w:rsidP="00E963F6">
      <w:pPr>
        <w:rPr>
          <w:sz w:val="24"/>
          <w:szCs w:val="24"/>
        </w:rPr>
      </w:pPr>
      <w:r w:rsidRPr="007C39AD">
        <w:rPr>
          <w:sz w:val="24"/>
          <w:szCs w:val="24"/>
        </w:rPr>
        <w:t xml:space="preserve">Cieľom </w:t>
      </w:r>
      <w:r w:rsidR="009A244C">
        <w:rPr>
          <w:sz w:val="24"/>
          <w:szCs w:val="24"/>
        </w:rPr>
        <w:t>revízie politiky EÚ pre biopalivá</w:t>
      </w:r>
      <w:r w:rsidR="009A244C" w:rsidRPr="007C39AD">
        <w:rPr>
          <w:sz w:val="24"/>
          <w:szCs w:val="24"/>
        </w:rPr>
        <w:t xml:space="preserve"> </w:t>
      </w:r>
      <w:r w:rsidRPr="007C39AD">
        <w:rPr>
          <w:sz w:val="24"/>
          <w:szCs w:val="24"/>
        </w:rPr>
        <w:t>je aj</w:t>
      </w:r>
      <w:r w:rsidR="001543C6" w:rsidRPr="007C39AD">
        <w:rPr>
          <w:sz w:val="24"/>
          <w:szCs w:val="24"/>
        </w:rPr>
        <w:t xml:space="preserve"> pomôcť</w:t>
      </w:r>
      <w:r w:rsidRPr="007C39AD">
        <w:rPr>
          <w:sz w:val="24"/>
          <w:szCs w:val="24"/>
        </w:rPr>
        <w:t xml:space="preserve"> pokročilým biopalivám</w:t>
      </w:r>
      <w:r w:rsidR="001543C6" w:rsidRPr="007C39AD">
        <w:rPr>
          <w:sz w:val="24"/>
          <w:szCs w:val="24"/>
        </w:rPr>
        <w:t xml:space="preserve"> </w:t>
      </w:r>
      <w:r w:rsidR="00485288" w:rsidRPr="007C39AD">
        <w:rPr>
          <w:sz w:val="24"/>
          <w:szCs w:val="24"/>
        </w:rPr>
        <w:t>preniknúť</w:t>
      </w:r>
      <w:r w:rsidR="001543C6" w:rsidRPr="007C39AD">
        <w:rPr>
          <w:sz w:val="24"/>
          <w:szCs w:val="24"/>
        </w:rPr>
        <w:t xml:space="preserve"> na trh</w:t>
      </w:r>
      <w:r w:rsidRPr="007C39AD">
        <w:rPr>
          <w:sz w:val="24"/>
          <w:szCs w:val="24"/>
        </w:rPr>
        <w:t xml:space="preserve">. </w:t>
      </w:r>
      <w:r w:rsidR="000564DC" w:rsidRPr="007C39AD">
        <w:rPr>
          <w:sz w:val="24"/>
          <w:szCs w:val="24"/>
        </w:rPr>
        <w:t>Po</w:t>
      </w:r>
      <w:r w:rsidR="00DC1A5E" w:rsidRPr="007C39AD">
        <w:rPr>
          <w:sz w:val="24"/>
          <w:szCs w:val="24"/>
        </w:rPr>
        <w:t>kročilé biopalivá</w:t>
      </w:r>
      <w:r w:rsidRPr="007C39AD">
        <w:rPr>
          <w:sz w:val="24"/>
          <w:szCs w:val="24"/>
        </w:rPr>
        <w:t xml:space="preserve"> sú</w:t>
      </w:r>
      <w:r w:rsidR="00DC1A5E" w:rsidRPr="007C39AD">
        <w:rPr>
          <w:sz w:val="24"/>
          <w:szCs w:val="24"/>
        </w:rPr>
        <w:t xml:space="preserve"> vyrábané z lignocelulozovýc</w:t>
      </w:r>
      <w:r w:rsidRPr="007C39AD">
        <w:rPr>
          <w:sz w:val="24"/>
          <w:szCs w:val="24"/>
        </w:rPr>
        <w:t>h surovín ako drevo alebo slama (biopalivá druhej generácie) alebo rias (biopalivá tretej generácie)</w:t>
      </w:r>
      <w:r w:rsidR="00DC1A5E" w:rsidRPr="007C39AD">
        <w:rPr>
          <w:sz w:val="24"/>
          <w:szCs w:val="24"/>
        </w:rPr>
        <w:t>.  Tiež je možné pestovať špecifické technické energetické plodiny</w:t>
      </w:r>
      <w:r w:rsidR="00485288">
        <w:rPr>
          <w:sz w:val="24"/>
          <w:szCs w:val="24"/>
        </w:rPr>
        <w:t>, ktoré sú následne spracovávané na biopalivá</w:t>
      </w:r>
      <w:r w:rsidR="00DC1A5E" w:rsidRPr="007C39AD">
        <w:rPr>
          <w:sz w:val="24"/>
          <w:szCs w:val="24"/>
        </w:rPr>
        <w:t xml:space="preserve">. Ak sú  biopalivá vyrábané z odpadových surovín, nekonkurujú potravinovým surovinám, čo je ich veľkou výhodou. Avšak, aby sme sa vyhli chybám z minulosti </w:t>
      </w:r>
      <w:r w:rsidR="00485288">
        <w:rPr>
          <w:sz w:val="24"/>
          <w:szCs w:val="24"/>
        </w:rPr>
        <w:t xml:space="preserve"> v súvislosti s biopalivami prvej generácie </w:t>
      </w:r>
      <w:r w:rsidR="00DC1A5E" w:rsidRPr="007C39AD">
        <w:rPr>
          <w:sz w:val="24"/>
          <w:szCs w:val="24"/>
        </w:rPr>
        <w:t>je nevy</w:t>
      </w:r>
      <w:r w:rsidRPr="007C39AD">
        <w:rPr>
          <w:sz w:val="24"/>
          <w:szCs w:val="24"/>
        </w:rPr>
        <w:t>h</w:t>
      </w:r>
      <w:r w:rsidR="00DC1A5E" w:rsidRPr="007C39AD">
        <w:rPr>
          <w:sz w:val="24"/>
          <w:szCs w:val="24"/>
        </w:rPr>
        <w:t>nutné zabezpečiť, aby podmienkou pre akékoľvek i</w:t>
      </w:r>
      <w:r w:rsidRPr="007C39AD">
        <w:rPr>
          <w:sz w:val="24"/>
          <w:szCs w:val="24"/>
        </w:rPr>
        <w:t>nvestície do rozvoja pokročilých</w:t>
      </w:r>
      <w:r w:rsidR="00DC1A5E" w:rsidRPr="007C39AD">
        <w:rPr>
          <w:sz w:val="24"/>
          <w:szCs w:val="24"/>
        </w:rPr>
        <w:t xml:space="preserve"> biopalív bolo splnenie prísnych </w:t>
      </w:r>
      <w:r w:rsidRPr="007C39AD">
        <w:rPr>
          <w:sz w:val="24"/>
          <w:szCs w:val="24"/>
        </w:rPr>
        <w:t>kritérií</w:t>
      </w:r>
      <w:r w:rsidR="00DC1A5E" w:rsidRPr="007C39AD">
        <w:rPr>
          <w:sz w:val="24"/>
          <w:szCs w:val="24"/>
        </w:rPr>
        <w:t xml:space="preserve"> trvalej udržateľnosti. </w:t>
      </w:r>
    </w:p>
    <w:p w14:paraId="1B1CCC0F" w14:textId="6F7FA3D7" w:rsidR="000564DC" w:rsidRPr="007C39AD" w:rsidRDefault="00DC1A5E" w:rsidP="00E963F6">
      <w:pPr>
        <w:rPr>
          <w:sz w:val="24"/>
          <w:szCs w:val="24"/>
        </w:rPr>
      </w:pPr>
      <w:r w:rsidRPr="007C39AD">
        <w:rPr>
          <w:sz w:val="24"/>
          <w:szCs w:val="24"/>
        </w:rPr>
        <w:t>Mnohé suroviny, ktoré sa na ich výrobu používajú sú už v súčasnosti využívane rôznymi</w:t>
      </w:r>
      <w:r w:rsidR="00FD521F" w:rsidRPr="007C39AD">
        <w:rPr>
          <w:sz w:val="24"/>
          <w:szCs w:val="24"/>
        </w:rPr>
        <w:t xml:space="preserve"> odvetviami priemyslu (napr. slama v poľnohospodárstve, drevo a drevný odpad v stavebníctve a nábytkárstve). P</w:t>
      </w:r>
      <w:r w:rsidR="00485288">
        <w:rPr>
          <w:sz w:val="24"/>
          <w:szCs w:val="24"/>
        </w:rPr>
        <w:t>odpora týchto surovín pre výrobu</w:t>
      </w:r>
      <w:r w:rsidR="00FD521F" w:rsidRPr="007C39AD">
        <w:rPr>
          <w:sz w:val="24"/>
          <w:szCs w:val="24"/>
        </w:rPr>
        <w:t xml:space="preserve"> bioenergie by mohla viesť k nadmernému dopytu po týchto zdrojoch, ktoré sú obmedzené, čo by mohlo mať negatívne environmentálne dôsledky.</w:t>
      </w:r>
    </w:p>
    <w:p w14:paraId="3ACD0D34" w14:textId="77777777" w:rsidR="005C5A29" w:rsidRPr="0092303E" w:rsidRDefault="007F66EC" w:rsidP="0092303E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bookmarkStart w:id="3" w:name="_Ref411874406"/>
      <w:proofErr w:type="spellStart"/>
      <w:r w:rsidRPr="0092303E">
        <w:rPr>
          <w:sz w:val="20"/>
          <w:szCs w:val="20"/>
        </w:rPr>
        <w:t>Biopalivá</w:t>
      </w:r>
      <w:proofErr w:type="spellEnd"/>
      <w:r w:rsidRPr="0092303E">
        <w:rPr>
          <w:sz w:val="20"/>
          <w:szCs w:val="20"/>
        </w:rPr>
        <w:t xml:space="preserve"> na Slovensku</w:t>
      </w:r>
      <w:bookmarkEnd w:id="3"/>
    </w:p>
    <w:p w14:paraId="4059BA79" w14:textId="618A6C4E" w:rsidR="00485288" w:rsidRPr="0092303E" w:rsidRDefault="0092303E" w:rsidP="00923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0"/>
          <w:szCs w:val="20"/>
        </w:rPr>
      </w:pPr>
      <w:r w:rsidRPr="0092303E">
        <w:rPr>
          <w:b/>
          <w:sz w:val="20"/>
          <w:szCs w:val="20"/>
        </w:rPr>
        <w:t>Výroba:</w:t>
      </w:r>
    </w:p>
    <w:p w14:paraId="4D537991" w14:textId="77777777" w:rsidR="005C5A29" w:rsidRPr="0092303E" w:rsidRDefault="005C5A29" w:rsidP="0092303E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92303E">
        <w:rPr>
          <w:sz w:val="20"/>
          <w:szCs w:val="20"/>
        </w:rPr>
        <w:t>Slovenský biopalivový sektor produkuje najmä kvapalné biopalivá prvej generácie, ktoré sa primiešavajú do tradičných fosílnych palív - benzínu a nafty.</w:t>
      </w:r>
    </w:p>
    <w:p w14:paraId="166B7FB4" w14:textId="77777777" w:rsidR="005C5A29" w:rsidRPr="0092303E" w:rsidRDefault="005C5A29" w:rsidP="00923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2303E">
        <w:rPr>
          <w:sz w:val="20"/>
          <w:szCs w:val="20"/>
        </w:rPr>
        <w:t>Na Slovensku sa vyrobí najviac biodieslu, na druhom mieste je bioetanol.</w:t>
      </w:r>
    </w:p>
    <w:p w14:paraId="350ECF91" w14:textId="77777777" w:rsidR="00485288" w:rsidRPr="0092303E" w:rsidRDefault="00740F9E" w:rsidP="00923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2303E">
        <w:rPr>
          <w:sz w:val="20"/>
          <w:szCs w:val="20"/>
        </w:rPr>
        <w:t>Najväčšími výrobcami na Slovensku  sú ENVIRAL, a.s - prvý výrobca bioetanolu na Slovensku s ročnou výrobná kapacita predstavuje 130 tisíc m³ bioetanolu</w:t>
      </w:r>
      <w:r w:rsidR="007B5DD0" w:rsidRPr="0092303E">
        <w:rPr>
          <w:sz w:val="20"/>
          <w:szCs w:val="20"/>
        </w:rPr>
        <w:t xml:space="preserve"> (hlavne z kukurice)</w:t>
      </w:r>
      <w:r w:rsidRPr="0092303E">
        <w:rPr>
          <w:sz w:val="20"/>
          <w:szCs w:val="20"/>
        </w:rPr>
        <w:t>. MEROCO, a.s vyrába biodiesel v objeme 100</w:t>
      </w:r>
      <w:r w:rsidR="007B5DD0" w:rsidRPr="0092303E">
        <w:rPr>
          <w:sz w:val="20"/>
          <w:szCs w:val="20"/>
        </w:rPr>
        <w:t xml:space="preserve"> tisíc ton (z repky olejnej, slnečnice).</w:t>
      </w:r>
    </w:p>
    <w:p w14:paraId="143DC9D7" w14:textId="77777777" w:rsidR="007B5DD0" w:rsidRDefault="007B5DD0" w:rsidP="00923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2303E">
        <w:rPr>
          <w:sz w:val="20"/>
          <w:szCs w:val="20"/>
        </w:rPr>
        <w:t xml:space="preserve"> Spoločnosť Biochemtex a Beta Renwables plánujú v Strážskom výstavbu závodu na výrobu celulózového etanolu, tj. biopaliva druhej genrácie (55 000 t ročne). Štart výroby sa predpokladá v prvej polovici 2017.</w:t>
      </w:r>
    </w:p>
    <w:p w14:paraId="39BCDB93" w14:textId="77777777" w:rsidR="0092303E" w:rsidRPr="0092303E" w:rsidRDefault="0092303E" w:rsidP="00923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14:paraId="20A57A21" w14:textId="17014827" w:rsidR="003A7F19" w:rsidRPr="0092303E" w:rsidRDefault="0092303E" w:rsidP="00923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sz w:val="20"/>
          <w:szCs w:val="20"/>
        </w:rPr>
      </w:pPr>
      <w:r w:rsidRPr="0092303E">
        <w:rPr>
          <w:b/>
          <w:bCs/>
          <w:sz w:val="20"/>
          <w:szCs w:val="20"/>
        </w:rPr>
        <w:t>Palivo verzus potraviny:</w:t>
      </w:r>
    </w:p>
    <w:p w14:paraId="074AF778" w14:textId="77777777" w:rsidR="00F71665" w:rsidRPr="0092303E" w:rsidRDefault="003A7F19" w:rsidP="00923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</w:rPr>
      </w:pPr>
      <w:r w:rsidRPr="0092303E">
        <w:rPr>
          <w:sz w:val="20"/>
          <w:szCs w:val="20"/>
        </w:rPr>
        <w:t>Aj na Slovensku plod</w:t>
      </w:r>
      <w:r w:rsidR="00485288" w:rsidRPr="0092303E">
        <w:rPr>
          <w:sz w:val="20"/>
          <w:szCs w:val="20"/>
        </w:rPr>
        <w:t>iny na výrobu biopalív vytesňujú</w:t>
      </w:r>
      <w:r w:rsidRPr="0092303E">
        <w:rPr>
          <w:sz w:val="20"/>
          <w:szCs w:val="20"/>
        </w:rPr>
        <w:t xml:space="preserve"> </w:t>
      </w:r>
      <w:r w:rsidR="00485288" w:rsidRPr="0092303E">
        <w:rPr>
          <w:sz w:val="20"/>
          <w:szCs w:val="20"/>
        </w:rPr>
        <w:t>potravinové plodiny</w:t>
      </w:r>
      <w:r w:rsidRPr="0092303E">
        <w:rPr>
          <w:sz w:val="20"/>
          <w:szCs w:val="20"/>
        </w:rPr>
        <w:t xml:space="preserve">. </w:t>
      </w:r>
      <w:r w:rsidR="00F71665" w:rsidRPr="0092303E">
        <w:rPr>
          <w:sz w:val="20"/>
          <w:szCs w:val="20"/>
        </w:rPr>
        <w:t xml:space="preserve">Podľa údajov v Koncepcii rozvoja poľnohospodárstva 2013-2020 došlo v období 2002 až 2011 až k 81,6% zníženiu spotreby repky </w:t>
      </w:r>
      <w:r w:rsidR="00F71665" w:rsidRPr="0092303E">
        <w:rPr>
          <w:sz w:val="20"/>
          <w:szCs w:val="20"/>
        </w:rPr>
        <w:lastRenderedPageBreak/>
        <w:t xml:space="preserve">v potravinárskom priemysle a 15-násobnemu zvýšením spotreby repky na výrobu bionafty. </w:t>
      </w:r>
      <w:r w:rsidR="003121EF" w:rsidRPr="0092303E">
        <w:rPr>
          <w:sz w:val="20"/>
          <w:szCs w:val="20"/>
        </w:rPr>
        <w:t>Spotreba repky na výrobu biopalív dosahuje až 85,71 % domácej produkcie.</w:t>
      </w:r>
      <w:r w:rsidR="00F71665" w:rsidRPr="0092303E">
        <w:rPr>
          <w:sz w:val="20"/>
          <w:szCs w:val="20"/>
        </w:rPr>
        <w:t xml:space="preserve"> Takže napriek tomu, že domáca produkcia by pokryla našu spotrebu, musíme jedlé oleje dovážať. Takže sme sa stali z exportérov rastlinných olejov importérmi. Z krátkodobého hľadiska majú farmári zabezpečení odbyt pre svoje plodiny avšak z pohľadu krajiny likvidácia spracovateľského priemyslu rastlinných tukov určite nie je strategicky správnym krokom. </w:t>
      </w:r>
    </w:p>
    <w:p w14:paraId="620461E7" w14:textId="77777777" w:rsidR="005C06D0" w:rsidRPr="0092303E" w:rsidRDefault="005C06D0" w:rsidP="00923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</w:rPr>
      </w:pPr>
    </w:p>
    <w:p w14:paraId="5D2CB44E" w14:textId="7ABB2EBF" w:rsidR="005C06D0" w:rsidRPr="0092303E" w:rsidRDefault="005C06D0" w:rsidP="0092303E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2303E">
        <w:rPr>
          <w:rFonts w:asciiTheme="minorHAnsi" w:eastAsiaTheme="minorHAnsi" w:hAnsiTheme="minorHAnsi" w:cstheme="minorBidi"/>
          <w:color w:val="auto"/>
          <w:sz w:val="20"/>
          <w:szCs w:val="20"/>
        </w:rPr>
        <w:t>Máme voľnú pôdu na pestovanie biopalív?</w:t>
      </w:r>
    </w:p>
    <w:p w14:paraId="107937DA" w14:textId="64B298CD" w:rsidR="005C06D0" w:rsidRPr="0092303E" w:rsidRDefault="005C06D0" w:rsidP="00923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92303E">
        <w:rPr>
          <w:sz w:val="20"/>
          <w:szCs w:val="20"/>
        </w:rPr>
        <w:t>Podľa Akčného plán využívania biomasy na roky 2008 -2013 „podpora pestovania biomasy na energetické účely nie je v konflikte s požiadavkami potravinovej bezpečnosti na Slovensku, keďže je 300 000 až 400 000 ha v súčasnosti nevyužívanej poľnohospodárskej pôdy.“ Táto pôda však nie je bližšie špecifikovaná. Na základe dostupných údajov je pravdepodobné, že prevažnú časť tejto voľnej pôdy tvoria tzv. „bie</w:t>
      </w:r>
      <w:r w:rsidR="00485288" w:rsidRPr="0092303E">
        <w:rPr>
          <w:sz w:val="20"/>
          <w:szCs w:val="20"/>
        </w:rPr>
        <w:t>le plochy“ čiže poľnohospodárska</w:t>
      </w:r>
      <w:r w:rsidRPr="0092303E">
        <w:rPr>
          <w:sz w:val="20"/>
          <w:szCs w:val="20"/>
        </w:rPr>
        <w:t xml:space="preserve"> pôda, ktorá bola zámerne alebo prirodzeným vývojom premenená na les</w:t>
      </w:r>
      <w:r w:rsidR="00485288" w:rsidRPr="0092303E">
        <w:rPr>
          <w:sz w:val="20"/>
          <w:szCs w:val="20"/>
        </w:rPr>
        <w:t xml:space="preserve"> resp. je zarastená náletom</w:t>
      </w:r>
      <w:r w:rsidRPr="0092303E">
        <w:rPr>
          <w:sz w:val="20"/>
          <w:szCs w:val="20"/>
        </w:rPr>
        <w:t xml:space="preserve">. Väčšina takejto pôdy sa nachádza v marginálnych oblastiach a jej využívaniu bránia rôzne socio-ekonomické a environmentálne faktory. </w:t>
      </w:r>
      <w:r w:rsidR="003409A9" w:rsidRPr="0092303E">
        <w:rPr>
          <w:sz w:val="20"/>
          <w:szCs w:val="20"/>
        </w:rPr>
        <w:t>Z týchto dôvodov táto pôda nepredstavuje reálny potenciál pre pestovanie plodín na výrobu</w:t>
      </w:r>
      <w:r w:rsidR="000D1F95" w:rsidRPr="0092303E">
        <w:rPr>
          <w:sz w:val="20"/>
          <w:szCs w:val="20"/>
        </w:rPr>
        <w:t xml:space="preserve"> tekutých</w:t>
      </w:r>
      <w:r w:rsidR="003409A9" w:rsidRPr="0092303E">
        <w:rPr>
          <w:sz w:val="20"/>
          <w:szCs w:val="20"/>
        </w:rPr>
        <w:t xml:space="preserve"> biopalív</w:t>
      </w:r>
      <w:r w:rsidR="00617C3D" w:rsidRPr="0092303E">
        <w:rPr>
          <w:sz w:val="20"/>
          <w:szCs w:val="20"/>
        </w:rPr>
        <w:t xml:space="preserve"> no ako preukázala štúdia CEPA Priatelia Zeme</w:t>
      </w:r>
      <w:r w:rsidR="00617C3D" w:rsidRPr="0092303E">
        <w:rPr>
          <w:rStyle w:val="Odkaznapoznmkupodiarou"/>
          <w:sz w:val="20"/>
          <w:szCs w:val="20"/>
        </w:rPr>
        <w:footnoteReference w:id="11"/>
      </w:r>
      <w:r w:rsidR="00617C3D" w:rsidRPr="0092303E">
        <w:rPr>
          <w:sz w:val="20"/>
          <w:szCs w:val="20"/>
        </w:rPr>
        <w:t>, môže predstavovať pri tvalo - udržateľnom využívaní významný  zdroj energeticky využiteľnej biomasy na lokálnej úrovni</w:t>
      </w:r>
      <w:r w:rsidR="003409A9" w:rsidRPr="0092303E">
        <w:rPr>
          <w:sz w:val="20"/>
          <w:szCs w:val="20"/>
        </w:rPr>
        <w:t xml:space="preserve">. </w:t>
      </w:r>
    </w:p>
    <w:p w14:paraId="5FF4332A" w14:textId="3BFCADA5" w:rsidR="00485288" w:rsidRPr="0092303E" w:rsidRDefault="0092303E" w:rsidP="00923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proofErr w:type="spellStart"/>
      <w:r w:rsidRPr="0092303E">
        <w:rPr>
          <w:b/>
          <w:sz w:val="20"/>
          <w:szCs w:val="20"/>
        </w:rPr>
        <w:t>Biopalivá</w:t>
      </w:r>
      <w:proofErr w:type="spellEnd"/>
      <w:r w:rsidRPr="0092303E">
        <w:rPr>
          <w:b/>
          <w:sz w:val="20"/>
          <w:szCs w:val="20"/>
        </w:rPr>
        <w:t xml:space="preserve"> a biodiverzita:</w:t>
      </w:r>
    </w:p>
    <w:p w14:paraId="365BCE44" w14:textId="6A272216" w:rsidR="00485288" w:rsidRPr="0092303E" w:rsidRDefault="00485288" w:rsidP="00923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</w:rPr>
      </w:pPr>
      <w:r w:rsidRPr="0092303E">
        <w:rPr>
          <w:sz w:val="20"/>
          <w:szCs w:val="20"/>
        </w:rPr>
        <w:t xml:space="preserve">Skoro polovica plochy Slovenska je využívaná na poľnohospodárske účely. Zákonite preto, spôsob obhospodarovania má zásadný vplyv  na </w:t>
      </w:r>
      <w:r w:rsidR="004626A4">
        <w:rPr>
          <w:sz w:val="20"/>
          <w:szCs w:val="20"/>
        </w:rPr>
        <w:t>biodiverzitu</w:t>
      </w:r>
      <w:r w:rsidRPr="0092303E">
        <w:rPr>
          <w:sz w:val="20"/>
          <w:szCs w:val="20"/>
        </w:rPr>
        <w:t xml:space="preserve"> poľnohospodárskej krajiny</w:t>
      </w:r>
      <w:r w:rsidR="004626A4">
        <w:rPr>
          <w:sz w:val="20"/>
          <w:szCs w:val="20"/>
        </w:rPr>
        <w:t xml:space="preserve"> </w:t>
      </w:r>
      <w:r w:rsidRPr="0092303E">
        <w:rPr>
          <w:sz w:val="20"/>
          <w:szCs w:val="20"/>
        </w:rPr>
        <w:t xml:space="preserve">Podobne ako v iných Európskych krajinách, </w:t>
      </w:r>
      <w:r w:rsidR="004626A4">
        <w:rPr>
          <w:sz w:val="20"/>
          <w:szCs w:val="20"/>
        </w:rPr>
        <w:t xml:space="preserve">aj na Slovensku sú </w:t>
      </w:r>
      <w:r w:rsidR="00996D89">
        <w:rPr>
          <w:sz w:val="20"/>
          <w:szCs w:val="20"/>
        </w:rPr>
        <w:t>druhy a biotopy viazané na poľnohospodársku kraj</w:t>
      </w:r>
      <w:r w:rsidR="004A6B60">
        <w:rPr>
          <w:sz w:val="20"/>
          <w:szCs w:val="20"/>
        </w:rPr>
        <w:t>inu</w:t>
      </w:r>
      <w:r w:rsidR="00996D89">
        <w:rPr>
          <w:sz w:val="20"/>
          <w:szCs w:val="20"/>
        </w:rPr>
        <w:t xml:space="preserve"> pod veľkým tlakom v dôsledku čoho ubúdajú resp. niektorým hrozí vyhynutie (napríklad drop veľký či krakľa belasá)</w:t>
      </w:r>
      <w:r w:rsidRPr="0092303E">
        <w:rPr>
          <w:sz w:val="20"/>
          <w:szCs w:val="20"/>
        </w:rPr>
        <w:t xml:space="preserve">. Hlavným dôvodom je na jednej strane intenzifikácia poľnohospodárstva (zánik lúk a pasienkov, odvodňovanie, zvýšené používanie pesticídov a hnojív, pestovanie monokultúr na veľkých blokoch ornej pôdy, odstraňovanie drevinovej vegetácie), no rovnako vážny vplyv má zanikanie diverzifikovaného poľnohospodárstva a zanechávanie tradičných postupov na iných miestach. Táto situácia je v prevažnej miere dôsledkom nastavenia poľnohospodárskych politík v minulosti, a od nášho vstupu do EÚ nastavením Spoločnej poľnohospodárskej politiky EÚ. S cieľom zvrátiť negatívny stav poľnohospodárskej krajiny v EÚ, posledná reforma zavádza opatrenia, ktorých cieľom je priviesť do krajiny určitú diverzitu a priestor pre zachovanie prírodných ekosystémov. Na druhej strane však energetická politika EÚ podporou pestovania plodín na výrobu biopalív ide proti snahám o zlepšenie stavu poľnohospodárskej krajiny: podporuje pestovanie monokultúr, vytvára tlak na vodu a ornú pôdu, ktorá je často získavaná na úkor významných funkčných prvkov v krajine ako napr. trávne porasty či nelesná drevinová vegetácia (remízky, stromoradia, solitéry). </w:t>
      </w:r>
    </w:p>
    <w:p w14:paraId="7B04D1C7" w14:textId="6B0E560E" w:rsidR="007F66EC" w:rsidRDefault="00485288" w:rsidP="007F66EC">
      <w:pPr>
        <w:pStyle w:val="Nadpis1"/>
        <w:numPr>
          <w:ilvl w:val="0"/>
          <w:numId w:val="2"/>
        </w:numPr>
      </w:pPr>
      <w:bookmarkStart w:id="4" w:name="_Ref411874418"/>
      <w:r>
        <w:t>A</w:t>
      </w:r>
      <w:r w:rsidR="0092303E">
        <w:t>ko môže revízia</w:t>
      </w:r>
      <w:r w:rsidR="007F66EC">
        <w:t xml:space="preserve"> prispieť k zabezpečeniu trvalej </w:t>
      </w:r>
      <w:r w:rsidR="0092303E">
        <w:t>udržateľnosti</w:t>
      </w:r>
      <w:r w:rsidR="007F66EC">
        <w:t xml:space="preserve"> </w:t>
      </w:r>
      <w:proofErr w:type="spellStart"/>
      <w:r w:rsidR="007F66EC">
        <w:t>biopalív</w:t>
      </w:r>
      <w:proofErr w:type="spellEnd"/>
      <w:r w:rsidR="007F66EC">
        <w:t>.</w:t>
      </w:r>
      <w:bookmarkEnd w:id="4"/>
    </w:p>
    <w:p w14:paraId="02F0BFA6" w14:textId="77777777" w:rsidR="004D46BA" w:rsidRPr="004D46BA" w:rsidRDefault="004D46BA" w:rsidP="004D46BA"/>
    <w:p w14:paraId="68F4FC9F" w14:textId="3DEBAD0B" w:rsidR="004D46BA" w:rsidRPr="004D46BA" w:rsidRDefault="004D46BA" w:rsidP="004D46BA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4D46BA">
        <w:rPr>
          <w:sz w:val="24"/>
          <w:szCs w:val="24"/>
        </w:rPr>
        <w:t xml:space="preserve">Zásadným spôsobom obmedziť podiel biopalív pestovaných na poľnohospodárskej pôde </w:t>
      </w:r>
      <w:r w:rsidR="00485288">
        <w:rPr>
          <w:sz w:val="24"/>
          <w:szCs w:val="24"/>
        </w:rPr>
        <w:t>v rámci 10%- ho cieľa pre podiel OZE v</w:t>
      </w:r>
      <w:r w:rsidR="00125B57">
        <w:rPr>
          <w:sz w:val="24"/>
          <w:szCs w:val="24"/>
        </w:rPr>
        <w:t> </w:t>
      </w:r>
      <w:r w:rsidR="00485288">
        <w:rPr>
          <w:sz w:val="24"/>
          <w:szCs w:val="24"/>
        </w:rPr>
        <w:t>doprave</w:t>
      </w:r>
      <w:r w:rsidR="00125B57">
        <w:rPr>
          <w:sz w:val="24"/>
          <w:szCs w:val="24"/>
        </w:rPr>
        <w:t xml:space="preserve"> na úroveň súčasnej spotreby (5%)</w:t>
      </w:r>
      <w:r w:rsidR="00485288">
        <w:rPr>
          <w:sz w:val="24"/>
          <w:szCs w:val="24"/>
        </w:rPr>
        <w:t xml:space="preserve">, </w:t>
      </w:r>
      <w:r w:rsidRPr="004D46BA">
        <w:rPr>
          <w:sz w:val="24"/>
          <w:szCs w:val="24"/>
        </w:rPr>
        <w:t xml:space="preserve">s cieľom zabezpečiť, aby nekonkurovali potravinovým plodinám v nárokoch na pôdu a vodu. </w:t>
      </w:r>
      <w:bookmarkStart w:id="5" w:name="_GoBack"/>
      <w:bookmarkEnd w:id="5"/>
    </w:p>
    <w:p w14:paraId="198C5E3F" w14:textId="4553DDB9" w:rsidR="004D46BA" w:rsidRPr="004D46BA" w:rsidRDefault="004D46BA" w:rsidP="004D46BA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4D46BA">
        <w:rPr>
          <w:sz w:val="24"/>
          <w:szCs w:val="24"/>
        </w:rPr>
        <w:lastRenderedPageBreak/>
        <w:t>Napraviť spôsob výpočtu uhlíkovej bilancie biopalív zarátaním emisií z nepriamej zmeny vo využívaní pôdy (ILUC)</w:t>
      </w:r>
      <w:r w:rsidR="00485288">
        <w:rPr>
          <w:sz w:val="24"/>
          <w:szCs w:val="24"/>
        </w:rPr>
        <w:t xml:space="preserve">. Správny spôsob výpočtu ILUC </w:t>
      </w:r>
      <w:r w:rsidR="00B628B1">
        <w:rPr>
          <w:sz w:val="24"/>
          <w:szCs w:val="24"/>
        </w:rPr>
        <w:t>je najlepším spôsobom podpory pokročilých biopalív, ktoré pre svoju výrobu vyžadujú menej poľnohospodárskej pôdy.</w:t>
      </w:r>
    </w:p>
    <w:p w14:paraId="39085261" w14:textId="22F6B35E" w:rsidR="004D46BA" w:rsidRDefault="004D46BA" w:rsidP="004D46BA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4D46BA">
        <w:rPr>
          <w:sz w:val="24"/>
          <w:szCs w:val="24"/>
        </w:rPr>
        <w:t>Správnym nastavení</w:t>
      </w:r>
      <w:r w:rsidR="00996D89">
        <w:rPr>
          <w:sz w:val="24"/>
          <w:szCs w:val="24"/>
        </w:rPr>
        <w:t>m</w:t>
      </w:r>
      <w:r w:rsidRPr="004D46BA">
        <w:rPr>
          <w:sz w:val="24"/>
          <w:szCs w:val="24"/>
        </w:rPr>
        <w:t xml:space="preserve"> kritérií zabezpečiť, aby biopalivá druhej generácie boli skutočne trvalo-udržateľné</w:t>
      </w:r>
      <w:r w:rsidR="00007FD9">
        <w:rPr>
          <w:sz w:val="24"/>
          <w:szCs w:val="24"/>
        </w:rPr>
        <w:t>.</w:t>
      </w:r>
    </w:p>
    <w:p w14:paraId="0F4D359F" w14:textId="77777777" w:rsidR="004D46BA" w:rsidRPr="000A79AA" w:rsidRDefault="004D46BA" w:rsidP="004D46BA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0A79AA">
        <w:rPr>
          <w:sz w:val="24"/>
          <w:szCs w:val="24"/>
        </w:rPr>
        <w:t>Poslať jasný signál trhu, že budúcnosť „zelenej“ dopravy spočíva v </w:t>
      </w:r>
      <w:r w:rsidR="00BA3F3B" w:rsidRPr="000A79AA">
        <w:rPr>
          <w:sz w:val="24"/>
          <w:szCs w:val="24"/>
        </w:rPr>
        <w:t>inovatívnych</w:t>
      </w:r>
      <w:r w:rsidRPr="000A79AA">
        <w:rPr>
          <w:sz w:val="24"/>
          <w:szCs w:val="24"/>
        </w:rPr>
        <w:t xml:space="preserve"> spôsoboch šetrenia energie, </w:t>
      </w:r>
      <w:r w:rsidR="00007FD9" w:rsidRPr="000A79AA">
        <w:rPr>
          <w:sz w:val="24"/>
          <w:szCs w:val="24"/>
        </w:rPr>
        <w:t xml:space="preserve">využitia </w:t>
      </w:r>
      <w:r w:rsidRPr="000A79AA">
        <w:rPr>
          <w:sz w:val="24"/>
          <w:szCs w:val="24"/>
        </w:rPr>
        <w:t xml:space="preserve">elektriny z obnoviteľných zdrojov, </w:t>
      </w:r>
      <w:r w:rsidR="00007FD9" w:rsidRPr="000A79AA">
        <w:rPr>
          <w:sz w:val="24"/>
          <w:szCs w:val="24"/>
        </w:rPr>
        <w:t xml:space="preserve">bioplynu z organického odpadu, </w:t>
      </w:r>
      <w:r w:rsidRPr="000A79AA">
        <w:rPr>
          <w:sz w:val="24"/>
          <w:szCs w:val="24"/>
        </w:rPr>
        <w:t>technológií ktoré zabezpečia veľké úspory uhlíka, v mobilite, vytváraní pracovných miest a ekonomických výhod a nie v</w:t>
      </w:r>
      <w:r w:rsidR="00BA3F3B" w:rsidRPr="000A79AA">
        <w:rPr>
          <w:sz w:val="24"/>
          <w:szCs w:val="24"/>
        </w:rPr>
        <w:t> biopalivách, ktoré majú negatívny vplyv na klímu, potravinovú bezpečnosť a životné prostredie.</w:t>
      </w:r>
    </w:p>
    <w:p w14:paraId="200EDB32" w14:textId="77777777" w:rsidR="004D46BA" w:rsidRDefault="004D46BA" w:rsidP="004D46BA">
      <w:pPr>
        <w:spacing w:after="0"/>
        <w:jc w:val="both"/>
        <w:rPr>
          <w:sz w:val="24"/>
          <w:szCs w:val="24"/>
        </w:rPr>
      </w:pPr>
    </w:p>
    <w:p w14:paraId="7D5E741A" w14:textId="77777777" w:rsidR="00207A96" w:rsidRPr="007F66EC" w:rsidRDefault="00207A96" w:rsidP="007F66EC">
      <w:pPr>
        <w:pStyle w:val="Nadpis1"/>
        <w:numPr>
          <w:ilvl w:val="0"/>
          <w:numId w:val="2"/>
        </w:numPr>
      </w:pPr>
      <w:bookmarkStart w:id="6" w:name="_Ref411874430"/>
      <w:r w:rsidRPr="007F66EC">
        <w:t>Ďalšie informácie</w:t>
      </w:r>
      <w:bookmarkEnd w:id="6"/>
    </w:p>
    <w:p w14:paraId="2B99103E" w14:textId="77777777" w:rsidR="007F66EC" w:rsidRDefault="007242FC" w:rsidP="007F66EC">
      <w:hyperlink r:id="rId12" w:history="1">
        <w:r w:rsidR="007F66EC" w:rsidRPr="006F33F2">
          <w:rPr>
            <w:rStyle w:val="Hypertextovprepojenie"/>
          </w:rPr>
          <w:t>http://www.biofuelsreform.org/</w:t>
        </w:r>
      </w:hyperlink>
    </w:p>
    <w:p w14:paraId="2A10EBAC" w14:textId="77777777" w:rsidR="00207A96" w:rsidRDefault="007242FC" w:rsidP="007F66EC">
      <w:pPr>
        <w:rPr>
          <w:rStyle w:val="Hypertextovprepojenie"/>
        </w:rPr>
      </w:pPr>
      <w:hyperlink r:id="rId13" w:history="1">
        <w:r w:rsidR="00207A96" w:rsidRPr="006F33F2">
          <w:rPr>
            <w:rStyle w:val="Hypertextovprepojenie"/>
          </w:rPr>
          <w:t>http://www.transportenvironment.org/publications/little-book-biofuels</w:t>
        </w:r>
      </w:hyperlink>
    </w:p>
    <w:p w14:paraId="6FAF5FD2" w14:textId="0050AAA0" w:rsidR="009C4FAF" w:rsidRDefault="009C4FAF" w:rsidP="007F66EC">
      <w:r w:rsidRPr="009C4FAF">
        <w:t>http://www.priateliazeme.sk/cepa/sk/informacie/zo-sveta/229-biopaliva-kradnu-podu</w:t>
      </w:r>
    </w:p>
    <w:p w14:paraId="662DF475" w14:textId="77777777" w:rsidR="007F66EC" w:rsidRDefault="007242FC" w:rsidP="007F66EC">
      <w:hyperlink r:id="rId14" w:history="1">
        <w:r w:rsidR="007F66EC" w:rsidRPr="006F33F2">
          <w:rPr>
            <w:rStyle w:val="Hypertextovprepojenie"/>
          </w:rPr>
          <w:t>http://www.birdlife.org/sites/default/files/attachments/201301_CEDelft_Report.pdf</w:t>
        </w:r>
      </w:hyperlink>
    </w:p>
    <w:p w14:paraId="0C081794" w14:textId="77777777" w:rsidR="007F66EC" w:rsidRDefault="007242FC" w:rsidP="007F66EC">
      <w:hyperlink r:id="rId15" w:history="1">
        <w:r w:rsidR="00912A5C" w:rsidRPr="00801A87">
          <w:rPr>
            <w:rStyle w:val="Hypertextovprepojenie"/>
          </w:rPr>
          <w:t>http://www.birdlife.org/sites/default/files/attachments/PolicyBriefing_Space_for_Energy_Crops.pdf</w:t>
        </w:r>
      </w:hyperlink>
    </w:p>
    <w:p w14:paraId="2D7D51E6" w14:textId="77777777" w:rsidR="00912A5C" w:rsidRDefault="00912A5C" w:rsidP="007F66EC"/>
    <w:p w14:paraId="1ED00373" w14:textId="77777777" w:rsidR="0092303E" w:rsidRPr="009C4FAF" w:rsidRDefault="00912A5C" w:rsidP="007F66EC">
      <w:pPr>
        <w:rPr>
          <w:i/>
        </w:rPr>
      </w:pPr>
      <w:r w:rsidRPr="009C4FAF">
        <w:rPr>
          <w:i/>
        </w:rPr>
        <w:t xml:space="preserve">Kontakt: </w:t>
      </w:r>
    </w:p>
    <w:p w14:paraId="669481BF" w14:textId="77777777" w:rsidR="00565B5D" w:rsidRPr="009C4FAF" w:rsidRDefault="00565B5D" w:rsidP="00565B5D">
      <w:pPr>
        <w:rPr>
          <w:i/>
          <w:lang w:val="en-GB"/>
        </w:rPr>
      </w:pPr>
      <w:r w:rsidRPr="009C4FAF">
        <w:rPr>
          <w:i/>
          <w:lang w:val="en-GB"/>
        </w:rPr>
        <w:t xml:space="preserve">Daniel Lešinský, CEPTA- Centrum pre </w:t>
      </w:r>
      <w:proofErr w:type="spellStart"/>
      <w:r w:rsidRPr="009C4FAF">
        <w:rPr>
          <w:i/>
          <w:lang w:val="en-GB"/>
        </w:rPr>
        <w:t>trvalo</w:t>
      </w:r>
      <w:proofErr w:type="spellEnd"/>
      <w:r w:rsidRPr="009C4FAF">
        <w:rPr>
          <w:i/>
          <w:lang w:val="en-GB"/>
        </w:rPr>
        <w:t xml:space="preserve"> </w:t>
      </w:r>
      <w:proofErr w:type="spellStart"/>
      <w:r w:rsidRPr="009C4FAF">
        <w:rPr>
          <w:i/>
          <w:lang w:val="en-GB"/>
        </w:rPr>
        <w:t>udržateľné</w:t>
      </w:r>
      <w:proofErr w:type="spellEnd"/>
      <w:r w:rsidRPr="009C4FAF">
        <w:rPr>
          <w:i/>
          <w:lang w:val="en-GB"/>
        </w:rPr>
        <w:t xml:space="preserve"> </w:t>
      </w:r>
      <w:proofErr w:type="spellStart"/>
      <w:r w:rsidRPr="009C4FAF">
        <w:rPr>
          <w:i/>
          <w:lang w:val="en-GB"/>
        </w:rPr>
        <w:t>alternatívy</w:t>
      </w:r>
      <w:proofErr w:type="spellEnd"/>
      <w:r w:rsidRPr="009C4FAF">
        <w:rPr>
          <w:i/>
          <w:lang w:val="en-GB"/>
        </w:rPr>
        <w:t xml:space="preserve">, </w:t>
      </w:r>
      <w:hyperlink r:id="rId16" w:history="1">
        <w:r w:rsidRPr="009C4FAF">
          <w:rPr>
            <w:rStyle w:val="Hypertextovprepojenie"/>
            <w:i/>
            <w:lang w:val="en-GB"/>
          </w:rPr>
          <w:t>Lesinsky@changenet.sk</w:t>
        </w:r>
      </w:hyperlink>
      <w:r w:rsidRPr="009C4FAF">
        <w:rPr>
          <w:i/>
          <w:lang w:val="en-GB"/>
        </w:rPr>
        <w:t>, 0905581076</w:t>
      </w:r>
    </w:p>
    <w:p w14:paraId="0EEFB55D" w14:textId="2CAB6078" w:rsidR="00565B5D" w:rsidRPr="009C4FAF" w:rsidRDefault="00565B5D" w:rsidP="00565B5D">
      <w:pPr>
        <w:rPr>
          <w:i/>
          <w:lang w:val="en-GB"/>
        </w:rPr>
      </w:pPr>
      <w:r w:rsidRPr="009C4FAF">
        <w:rPr>
          <w:i/>
          <w:lang w:val="en-GB"/>
        </w:rPr>
        <w:t>Miroslav Mojžiš, CEPA-</w:t>
      </w:r>
      <w:proofErr w:type="spellStart"/>
      <w:r w:rsidRPr="009C4FAF">
        <w:rPr>
          <w:i/>
          <w:lang w:val="en-GB"/>
        </w:rPr>
        <w:t>Priatelia</w:t>
      </w:r>
      <w:proofErr w:type="spellEnd"/>
      <w:r w:rsidRPr="009C4FAF">
        <w:rPr>
          <w:i/>
          <w:lang w:val="en-GB"/>
        </w:rPr>
        <w:t xml:space="preserve"> </w:t>
      </w:r>
      <w:proofErr w:type="spellStart"/>
      <w:r w:rsidRPr="009C4FAF">
        <w:rPr>
          <w:i/>
          <w:lang w:val="en-GB"/>
        </w:rPr>
        <w:t>Zeme</w:t>
      </w:r>
      <w:proofErr w:type="spellEnd"/>
      <w:r w:rsidRPr="009C4FAF">
        <w:rPr>
          <w:i/>
          <w:lang w:val="en-GB"/>
        </w:rPr>
        <w:t xml:space="preserve">, </w:t>
      </w:r>
      <w:hyperlink r:id="rId17" w:history="1">
        <w:r w:rsidRPr="009C4FAF">
          <w:rPr>
            <w:rStyle w:val="Hypertextovprepojenie"/>
            <w:i/>
            <w:lang w:val="en-GB"/>
          </w:rPr>
          <w:t>mojzis@priateliazeme.sk</w:t>
        </w:r>
      </w:hyperlink>
      <w:r w:rsidRPr="009C4FAF">
        <w:rPr>
          <w:i/>
          <w:lang w:val="en-GB"/>
        </w:rPr>
        <w:t>, 0904 591</w:t>
      </w:r>
      <w:r>
        <w:rPr>
          <w:i/>
          <w:lang w:val="en-GB"/>
        </w:rPr>
        <w:t> </w:t>
      </w:r>
      <w:r w:rsidRPr="009C4FAF">
        <w:rPr>
          <w:i/>
          <w:lang w:val="en-GB"/>
        </w:rPr>
        <w:t>107</w:t>
      </w:r>
    </w:p>
    <w:p w14:paraId="3BBBA2D2" w14:textId="6C987D64" w:rsidR="00912A5C" w:rsidRPr="009C4FAF" w:rsidRDefault="00912A5C" w:rsidP="007F66EC">
      <w:pPr>
        <w:rPr>
          <w:i/>
          <w:lang w:val="en-GB"/>
        </w:rPr>
      </w:pPr>
      <w:r w:rsidRPr="009C4FAF">
        <w:rPr>
          <w:i/>
        </w:rPr>
        <w:t>Tatiana Nemcova, SOS/</w:t>
      </w:r>
      <w:proofErr w:type="spellStart"/>
      <w:r w:rsidRPr="009C4FAF">
        <w:rPr>
          <w:i/>
        </w:rPr>
        <w:t>BirdLife</w:t>
      </w:r>
      <w:proofErr w:type="spellEnd"/>
      <w:r w:rsidRPr="009C4FAF">
        <w:rPr>
          <w:i/>
        </w:rPr>
        <w:t xml:space="preserve"> Slovensko, </w:t>
      </w:r>
      <w:hyperlink r:id="rId18" w:history="1">
        <w:r w:rsidRPr="009C4FAF">
          <w:rPr>
            <w:rStyle w:val="Hypertextovprepojenie"/>
            <w:i/>
          </w:rPr>
          <w:t>Nemcova</w:t>
        </w:r>
        <w:r w:rsidRPr="009C4FAF">
          <w:rPr>
            <w:rStyle w:val="Hypertextovprepojenie"/>
            <w:i/>
            <w:lang w:val="en-GB"/>
          </w:rPr>
          <w:t>@vtaky.sk</w:t>
        </w:r>
      </w:hyperlink>
      <w:r w:rsidRPr="009C4FAF">
        <w:rPr>
          <w:i/>
          <w:lang w:val="en-GB"/>
        </w:rPr>
        <w:t>, 0944 209</w:t>
      </w:r>
      <w:r w:rsidR="0092303E" w:rsidRPr="009C4FAF">
        <w:rPr>
          <w:i/>
          <w:lang w:val="en-GB"/>
        </w:rPr>
        <w:t> </w:t>
      </w:r>
      <w:r w:rsidRPr="009C4FAF">
        <w:rPr>
          <w:i/>
          <w:lang w:val="en-GB"/>
        </w:rPr>
        <w:t>893.</w:t>
      </w:r>
    </w:p>
    <w:p w14:paraId="286229F5" w14:textId="77777777" w:rsidR="00207A96" w:rsidRDefault="00207A96" w:rsidP="00E963F6"/>
    <w:p w14:paraId="58F06369" w14:textId="77777777" w:rsidR="00207A96" w:rsidRDefault="00207A96" w:rsidP="00E963F6"/>
    <w:p w14:paraId="192290F5" w14:textId="77777777" w:rsidR="009E3B18" w:rsidRPr="00DF0ECC" w:rsidRDefault="009E3B18" w:rsidP="00E963F6"/>
    <w:p w14:paraId="5E1FCA5D" w14:textId="77777777" w:rsidR="00E963F6" w:rsidRPr="00511D76" w:rsidRDefault="00E963F6" w:rsidP="00511D76">
      <w:pPr>
        <w:rPr>
          <w:sz w:val="24"/>
          <w:szCs w:val="24"/>
        </w:rPr>
      </w:pPr>
    </w:p>
    <w:p w14:paraId="04A336F1" w14:textId="77777777" w:rsidR="006D72EF" w:rsidRPr="006D72EF" w:rsidRDefault="006D72EF" w:rsidP="00BB46EC">
      <w:pPr>
        <w:ind w:left="360"/>
        <w:rPr>
          <w:sz w:val="24"/>
          <w:szCs w:val="24"/>
          <w:u w:val="single"/>
        </w:rPr>
      </w:pPr>
    </w:p>
    <w:p w14:paraId="047F7746" w14:textId="77777777" w:rsidR="00F4211D" w:rsidRDefault="00F4211D" w:rsidP="00BB46EC">
      <w:pPr>
        <w:ind w:left="360"/>
        <w:rPr>
          <w:sz w:val="24"/>
          <w:szCs w:val="24"/>
        </w:rPr>
      </w:pPr>
    </w:p>
    <w:p w14:paraId="290F62FE" w14:textId="77777777" w:rsidR="00F4211D" w:rsidRDefault="00F4211D" w:rsidP="00BB46EC">
      <w:pPr>
        <w:ind w:left="360"/>
        <w:rPr>
          <w:sz w:val="24"/>
          <w:szCs w:val="24"/>
        </w:rPr>
      </w:pPr>
    </w:p>
    <w:sectPr w:rsidR="00F42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3A1D7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ECD96" w14:textId="77777777" w:rsidR="007242FC" w:rsidRDefault="007242FC" w:rsidP="00F4211D">
      <w:pPr>
        <w:spacing w:after="0" w:line="240" w:lineRule="auto"/>
      </w:pPr>
      <w:r>
        <w:separator/>
      </w:r>
    </w:p>
  </w:endnote>
  <w:endnote w:type="continuationSeparator" w:id="0">
    <w:p w14:paraId="6CF79882" w14:textId="77777777" w:rsidR="007242FC" w:rsidRDefault="007242FC" w:rsidP="00F4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1C105" w14:textId="77777777" w:rsidR="007242FC" w:rsidRDefault="007242FC" w:rsidP="00F4211D">
      <w:pPr>
        <w:spacing w:after="0" w:line="240" w:lineRule="auto"/>
      </w:pPr>
      <w:r>
        <w:separator/>
      </w:r>
    </w:p>
  </w:footnote>
  <w:footnote w:type="continuationSeparator" w:id="0">
    <w:p w14:paraId="4723197C" w14:textId="77777777" w:rsidR="007242FC" w:rsidRDefault="007242FC" w:rsidP="00F4211D">
      <w:pPr>
        <w:spacing w:after="0" w:line="240" w:lineRule="auto"/>
      </w:pPr>
      <w:r>
        <w:continuationSeparator/>
      </w:r>
    </w:p>
  </w:footnote>
  <w:footnote w:id="1">
    <w:p w14:paraId="7B03EFC1" w14:textId="77777777" w:rsidR="009A244C" w:rsidRDefault="009A244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4211D">
        <w:t>http://www.europarl.europa.eu/oeil/popups/ficheprocedure.do?reference=2012/0288(COD)&amp;l=en#tab-0</w:t>
      </w:r>
    </w:p>
  </w:footnote>
  <w:footnote w:id="2">
    <w:p w14:paraId="6111C263" w14:textId="77777777" w:rsidR="009A244C" w:rsidRPr="007C1776" w:rsidRDefault="009A244C" w:rsidP="00105EB7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7C1776">
        <w:rPr>
          <w:sz w:val="16"/>
          <w:szCs w:val="16"/>
        </w:rPr>
        <w:t>V súčasnosti 35%, od roku 2017 50% a od roku 2018 60%</w:t>
      </w:r>
    </w:p>
  </w:footnote>
  <w:footnote w:id="3">
    <w:p w14:paraId="562B8B4F" w14:textId="14AAC00E" w:rsidR="00B43C95" w:rsidRDefault="00B43C9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 xml:space="preserve">Pozri čl. 17 Smernice o OZE: </w:t>
      </w:r>
      <w:r w:rsidRPr="00B43C95">
        <w:t>http://eur-lex.europa.eu/legal-content/SK/TXT/PDF/?uri=CELEX:32009L0028&amp;from=EN</w:t>
      </w:r>
    </w:p>
  </w:footnote>
  <w:footnote w:id="4">
    <w:p w14:paraId="4752CF7E" w14:textId="2268BA7D" w:rsidR="008332CA" w:rsidRDefault="008332C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 xml:space="preserve">V angličtine skratka </w:t>
      </w:r>
      <w:proofErr w:type="spellStart"/>
      <w:r>
        <w:t>Indirect</w:t>
      </w:r>
      <w:proofErr w:type="spellEnd"/>
      <w:r>
        <w:t xml:space="preserve"> </w:t>
      </w:r>
      <w:proofErr w:type="spellStart"/>
      <w:r>
        <w:t>landuse</w:t>
      </w:r>
      <w:proofErr w:type="spellEnd"/>
      <w:r>
        <w:t xml:space="preserve"> </w:t>
      </w:r>
      <w:proofErr w:type="spellStart"/>
      <w:r>
        <w:t>change</w:t>
      </w:r>
      <w:proofErr w:type="spellEnd"/>
    </w:p>
  </w:footnote>
  <w:footnote w:id="5">
    <w:p w14:paraId="015B32CD" w14:textId="77777777" w:rsidR="009A244C" w:rsidRDefault="009A244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9E3B18">
        <w:t>http://www.eea.europa.eu/publications/eu-bioenergy-potential/download</w:t>
      </w:r>
    </w:p>
  </w:footnote>
  <w:footnote w:id="6">
    <w:p w14:paraId="22B885FE" w14:textId="77777777" w:rsidR="009A244C" w:rsidRDefault="009A244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9E3B18">
        <w:t>https://ec.europa.eu/jrc/en/news/new-report-indirect-land-use-change-emissions-estimates</w:t>
      </w:r>
    </w:p>
  </w:footnote>
  <w:footnote w:id="7">
    <w:p w14:paraId="3E2DA075" w14:textId="77777777" w:rsidR="009A244C" w:rsidRDefault="009A244C" w:rsidP="00ED071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1" w:history="1">
        <w:proofErr w:type="spellStart"/>
        <w:r w:rsidRPr="00DF0ECC">
          <w:rPr>
            <w:rStyle w:val="Hypertextovprepojenie"/>
            <w:i/>
          </w:rPr>
          <w:t>Anticipated</w:t>
        </w:r>
        <w:proofErr w:type="spellEnd"/>
        <w:r w:rsidRPr="00DF0ECC">
          <w:rPr>
            <w:rStyle w:val="Hypertextovprepojenie"/>
            <w:i/>
          </w:rPr>
          <w:t xml:space="preserve"> </w:t>
        </w:r>
        <w:proofErr w:type="spellStart"/>
        <w:r w:rsidRPr="00DF0ECC">
          <w:rPr>
            <w:rStyle w:val="Hypertextovprepojenie"/>
            <w:i/>
          </w:rPr>
          <w:t>Indirect</w:t>
        </w:r>
        <w:proofErr w:type="spellEnd"/>
        <w:r w:rsidRPr="00DF0ECC">
          <w:rPr>
            <w:rStyle w:val="Hypertextovprepojenie"/>
            <w:i/>
          </w:rPr>
          <w:t xml:space="preserve"> </w:t>
        </w:r>
        <w:proofErr w:type="spellStart"/>
        <w:r w:rsidRPr="00DF0ECC">
          <w:rPr>
            <w:rStyle w:val="Hypertextovprepojenie"/>
            <w:i/>
          </w:rPr>
          <w:t>Land</w:t>
        </w:r>
        <w:proofErr w:type="spellEnd"/>
        <w:r w:rsidRPr="00DF0ECC">
          <w:rPr>
            <w:rStyle w:val="Hypertextovprepojenie"/>
            <w:i/>
          </w:rPr>
          <w:t xml:space="preserve"> </w:t>
        </w:r>
        <w:proofErr w:type="spellStart"/>
        <w:r w:rsidRPr="00DF0ECC">
          <w:rPr>
            <w:rStyle w:val="Hypertextovprepojenie"/>
            <w:i/>
          </w:rPr>
          <w:t>Use</w:t>
        </w:r>
        <w:proofErr w:type="spellEnd"/>
        <w:r w:rsidRPr="00DF0ECC">
          <w:rPr>
            <w:rStyle w:val="Hypertextovprepojenie"/>
            <w:i/>
          </w:rPr>
          <w:t xml:space="preserve"> </w:t>
        </w:r>
        <w:proofErr w:type="spellStart"/>
        <w:r w:rsidRPr="00DF0ECC">
          <w:rPr>
            <w:rStyle w:val="Hypertextovprepojenie"/>
            <w:i/>
          </w:rPr>
          <w:t>Change</w:t>
        </w:r>
        <w:proofErr w:type="spellEnd"/>
        <w:r w:rsidRPr="00DF0ECC">
          <w:rPr>
            <w:rStyle w:val="Hypertextovprepojenie"/>
            <w:i/>
          </w:rPr>
          <w:t xml:space="preserve"> </w:t>
        </w:r>
        <w:proofErr w:type="spellStart"/>
        <w:r w:rsidRPr="00DF0ECC">
          <w:rPr>
            <w:rStyle w:val="Hypertextovprepojenie"/>
            <w:i/>
          </w:rPr>
          <w:t>Associated</w:t>
        </w:r>
        <w:proofErr w:type="spellEnd"/>
        <w:r w:rsidRPr="00DF0ECC">
          <w:rPr>
            <w:rStyle w:val="Hypertextovprepojenie"/>
            <w:i/>
          </w:rPr>
          <w:t xml:space="preserve"> </w:t>
        </w:r>
        <w:proofErr w:type="spellStart"/>
        <w:r w:rsidRPr="00DF0ECC">
          <w:rPr>
            <w:rStyle w:val="Hypertextovprepojenie"/>
            <w:i/>
          </w:rPr>
          <w:t>with</w:t>
        </w:r>
        <w:proofErr w:type="spellEnd"/>
        <w:r w:rsidRPr="00DF0ECC">
          <w:rPr>
            <w:rStyle w:val="Hypertextovprepojenie"/>
            <w:i/>
          </w:rPr>
          <w:t xml:space="preserve"> </w:t>
        </w:r>
        <w:proofErr w:type="spellStart"/>
        <w:r w:rsidRPr="00DF0ECC">
          <w:rPr>
            <w:rStyle w:val="Hypertextovprepojenie"/>
            <w:i/>
          </w:rPr>
          <w:t>Expanded</w:t>
        </w:r>
        <w:proofErr w:type="spellEnd"/>
        <w:r w:rsidRPr="00DF0ECC">
          <w:rPr>
            <w:rStyle w:val="Hypertextovprepojenie"/>
            <w:i/>
          </w:rPr>
          <w:t xml:space="preserve"> </w:t>
        </w:r>
        <w:proofErr w:type="spellStart"/>
        <w:r w:rsidRPr="00DF0ECC">
          <w:rPr>
            <w:rStyle w:val="Hypertextovprepojenie"/>
            <w:i/>
          </w:rPr>
          <w:t>Use</w:t>
        </w:r>
        <w:proofErr w:type="spellEnd"/>
        <w:r w:rsidRPr="00DF0ECC">
          <w:rPr>
            <w:rStyle w:val="Hypertextovprepojenie"/>
            <w:i/>
          </w:rPr>
          <w:t xml:space="preserve"> </w:t>
        </w:r>
        <w:proofErr w:type="spellStart"/>
        <w:r w:rsidRPr="00DF0ECC">
          <w:rPr>
            <w:rStyle w:val="Hypertextovprepojenie"/>
            <w:i/>
          </w:rPr>
          <w:t>of</w:t>
        </w:r>
        <w:proofErr w:type="spellEnd"/>
        <w:r w:rsidRPr="00DF0ECC">
          <w:rPr>
            <w:rStyle w:val="Hypertextovprepojenie"/>
            <w:i/>
          </w:rPr>
          <w:t xml:space="preserve"> </w:t>
        </w:r>
        <w:proofErr w:type="spellStart"/>
        <w:r w:rsidRPr="00DF0ECC">
          <w:rPr>
            <w:rStyle w:val="Hypertextovprepojenie"/>
            <w:i/>
          </w:rPr>
          <w:t>Biofuels</w:t>
        </w:r>
        <w:proofErr w:type="spellEnd"/>
        <w:r w:rsidRPr="00DF0ECC">
          <w:rPr>
            <w:rStyle w:val="Hypertextovprepojenie"/>
            <w:i/>
          </w:rPr>
          <w:t xml:space="preserve"> and </w:t>
        </w:r>
        <w:proofErr w:type="spellStart"/>
        <w:r w:rsidRPr="00DF0ECC">
          <w:rPr>
            <w:rStyle w:val="Hypertextovprepojenie"/>
            <w:i/>
          </w:rPr>
          <w:t>Bioliquids</w:t>
        </w:r>
        <w:proofErr w:type="spellEnd"/>
        <w:r w:rsidRPr="00DF0ECC">
          <w:rPr>
            <w:rStyle w:val="Hypertextovprepojenie"/>
            <w:i/>
          </w:rPr>
          <w:t xml:space="preserve"> in </w:t>
        </w:r>
        <w:proofErr w:type="spellStart"/>
        <w:r w:rsidRPr="00DF0ECC">
          <w:rPr>
            <w:rStyle w:val="Hypertextovprepojenie"/>
            <w:i/>
          </w:rPr>
          <w:t>the</w:t>
        </w:r>
        <w:proofErr w:type="spellEnd"/>
        <w:r w:rsidRPr="00DF0ECC">
          <w:rPr>
            <w:rStyle w:val="Hypertextovprepojenie"/>
            <w:i/>
          </w:rPr>
          <w:t xml:space="preserve"> EU – </w:t>
        </w:r>
        <w:proofErr w:type="spellStart"/>
        <w:r w:rsidRPr="00DF0ECC">
          <w:rPr>
            <w:rStyle w:val="Hypertextovprepojenie"/>
            <w:i/>
          </w:rPr>
          <w:t>An</w:t>
        </w:r>
        <w:proofErr w:type="spellEnd"/>
        <w:r w:rsidRPr="00DF0ECC">
          <w:rPr>
            <w:rStyle w:val="Hypertextovprepojenie"/>
            <w:i/>
          </w:rPr>
          <w:t xml:space="preserve"> </w:t>
        </w:r>
        <w:proofErr w:type="spellStart"/>
        <w:r w:rsidRPr="00DF0ECC">
          <w:rPr>
            <w:rStyle w:val="Hypertextovprepojenie"/>
            <w:i/>
          </w:rPr>
          <w:t>Analysis</w:t>
        </w:r>
        <w:proofErr w:type="spellEnd"/>
        <w:r w:rsidRPr="00DF0ECC">
          <w:rPr>
            <w:rStyle w:val="Hypertextovprepojenie"/>
            <w:i/>
          </w:rPr>
          <w:t xml:space="preserve"> </w:t>
        </w:r>
        <w:proofErr w:type="spellStart"/>
        <w:r w:rsidRPr="00DF0ECC">
          <w:rPr>
            <w:rStyle w:val="Hypertextovprepojenie"/>
            <w:i/>
          </w:rPr>
          <w:t>of</w:t>
        </w:r>
        <w:proofErr w:type="spellEnd"/>
        <w:r w:rsidRPr="00DF0ECC">
          <w:rPr>
            <w:rStyle w:val="Hypertextovprepojenie"/>
            <w:i/>
          </w:rPr>
          <w:t xml:space="preserve"> </w:t>
        </w:r>
        <w:proofErr w:type="spellStart"/>
        <w:r w:rsidRPr="00DF0ECC">
          <w:rPr>
            <w:rStyle w:val="Hypertextovprepojenie"/>
            <w:i/>
          </w:rPr>
          <w:t>the</w:t>
        </w:r>
        <w:proofErr w:type="spellEnd"/>
        <w:r w:rsidRPr="00DF0ECC">
          <w:rPr>
            <w:rStyle w:val="Hypertextovprepojenie"/>
            <w:i/>
          </w:rPr>
          <w:t xml:space="preserve"> </w:t>
        </w:r>
        <w:proofErr w:type="spellStart"/>
        <w:r w:rsidRPr="00DF0ECC">
          <w:rPr>
            <w:rStyle w:val="Hypertextovprepojenie"/>
            <w:i/>
          </w:rPr>
          <w:t>National</w:t>
        </w:r>
        <w:proofErr w:type="spellEnd"/>
        <w:r w:rsidRPr="00DF0ECC">
          <w:rPr>
            <w:rStyle w:val="Hypertextovprepojenie"/>
            <w:i/>
          </w:rPr>
          <w:t xml:space="preserve"> </w:t>
        </w:r>
        <w:proofErr w:type="spellStart"/>
        <w:r w:rsidRPr="00DF0ECC">
          <w:rPr>
            <w:rStyle w:val="Hypertextovprepojenie"/>
            <w:i/>
          </w:rPr>
          <w:t>Renewable</w:t>
        </w:r>
        <w:proofErr w:type="spellEnd"/>
        <w:r w:rsidRPr="00DF0ECC">
          <w:rPr>
            <w:rStyle w:val="Hypertextovprepojenie"/>
            <w:i/>
          </w:rPr>
          <w:t xml:space="preserve"> </w:t>
        </w:r>
        <w:proofErr w:type="spellStart"/>
        <w:r w:rsidRPr="00DF0ECC">
          <w:rPr>
            <w:rStyle w:val="Hypertextovprepojenie"/>
            <w:i/>
          </w:rPr>
          <w:t>Energy</w:t>
        </w:r>
        <w:proofErr w:type="spellEnd"/>
        <w:r w:rsidRPr="00DF0ECC">
          <w:rPr>
            <w:rStyle w:val="Hypertextovprepojenie"/>
            <w:i/>
          </w:rPr>
          <w:t xml:space="preserve"> </w:t>
        </w:r>
        <w:proofErr w:type="spellStart"/>
        <w:r w:rsidRPr="00DF0ECC">
          <w:rPr>
            <w:rStyle w:val="Hypertextovprepojenie"/>
            <w:i/>
          </w:rPr>
          <w:t>Action</w:t>
        </w:r>
        <w:proofErr w:type="spellEnd"/>
        <w:r w:rsidRPr="00DF0ECC">
          <w:rPr>
            <w:rStyle w:val="Hypertextovprepojenie"/>
            <w:i/>
          </w:rPr>
          <w:t xml:space="preserve"> </w:t>
        </w:r>
        <w:proofErr w:type="spellStart"/>
        <w:r w:rsidRPr="00DF0ECC">
          <w:rPr>
            <w:rStyle w:val="Hypertextovprepojenie"/>
            <w:i/>
          </w:rPr>
          <w:t>Plans</w:t>
        </w:r>
        <w:proofErr w:type="spellEnd"/>
        <w:r w:rsidRPr="00DF0ECC">
          <w:rPr>
            <w:rStyle w:val="Hypertextovprepojenie"/>
          </w:rPr>
          <w:t xml:space="preserve">, </w:t>
        </w:r>
        <w:proofErr w:type="spellStart"/>
        <w:r w:rsidRPr="00DF0ECC">
          <w:rPr>
            <w:rStyle w:val="Hypertextovprepojenie"/>
          </w:rPr>
          <w:t>Institute</w:t>
        </w:r>
        <w:proofErr w:type="spellEnd"/>
        <w:r w:rsidRPr="00DF0ECC">
          <w:rPr>
            <w:rStyle w:val="Hypertextovprepojenie"/>
          </w:rPr>
          <w:t xml:space="preserve"> </w:t>
        </w:r>
        <w:proofErr w:type="spellStart"/>
        <w:r w:rsidRPr="00DF0ECC">
          <w:rPr>
            <w:rStyle w:val="Hypertextovprepojenie"/>
          </w:rPr>
          <w:t>for</w:t>
        </w:r>
        <w:proofErr w:type="spellEnd"/>
        <w:r w:rsidRPr="00DF0ECC">
          <w:rPr>
            <w:rStyle w:val="Hypertextovprepojenie"/>
          </w:rPr>
          <w:t xml:space="preserve"> </w:t>
        </w:r>
        <w:proofErr w:type="spellStart"/>
        <w:r w:rsidRPr="00DF0ECC">
          <w:rPr>
            <w:rStyle w:val="Hypertextovprepojenie"/>
          </w:rPr>
          <w:t>European</w:t>
        </w:r>
        <w:proofErr w:type="spellEnd"/>
        <w:r w:rsidRPr="00DF0ECC">
          <w:rPr>
            <w:rStyle w:val="Hypertextovprepojenie"/>
          </w:rPr>
          <w:t xml:space="preserve"> </w:t>
        </w:r>
        <w:proofErr w:type="spellStart"/>
        <w:r w:rsidRPr="00DF0ECC">
          <w:rPr>
            <w:rStyle w:val="Hypertextovprepojenie"/>
          </w:rPr>
          <w:t>Environmental</w:t>
        </w:r>
        <w:proofErr w:type="spellEnd"/>
        <w:r w:rsidRPr="00DF0ECC">
          <w:rPr>
            <w:rStyle w:val="Hypertextovprepojenie"/>
          </w:rPr>
          <w:t xml:space="preserve"> </w:t>
        </w:r>
        <w:proofErr w:type="spellStart"/>
        <w:r w:rsidRPr="00DF0ECC">
          <w:rPr>
            <w:rStyle w:val="Hypertextovprepojenie"/>
          </w:rPr>
          <w:t>Policy</w:t>
        </w:r>
        <w:proofErr w:type="spellEnd"/>
        <w:r w:rsidRPr="00DF0ECC">
          <w:rPr>
            <w:rStyle w:val="Hypertextovprepojenie"/>
          </w:rPr>
          <w:t>, 2010.</w:t>
        </w:r>
      </w:hyperlink>
    </w:p>
  </w:footnote>
  <w:footnote w:id="8">
    <w:p w14:paraId="7771824D" w14:textId="77777777" w:rsidR="009A244C" w:rsidRPr="006928E9" w:rsidRDefault="009A244C" w:rsidP="002652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Style w:val="Zvraznenie"/>
        </w:rPr>
        <w:t xml:space="preserve"> </w:t>
      </w:r>
      <w:hyperlink r:id="rId2" w:history="1">
        <w:r w:rsidRPr="006928E9">
          <w:rPr>
            <w:rStyle w:val="Hypertextovprepojenie"/>
            <w:i/>
          </w:rPr>
          <w:t>Biofuels–At What Cost? A review of costs and benefits of EU biofuel policies</w:t>
        </w:r>
        <w:r w:rsidRPr="006928E9">
          <w:rPr>
            <w:rStyle w:val="Hypertextovprepojenie"/>
          </w:rPr>
          <w:t>, I</w:t>
        </w:r>
        <w:r>
          <w:rPr>
            <w:rStyle w:val="Hypertextovprepojenie"/>
          </w:rPr>
          <w:t xml:space="preserve">nternational </w:t>
        </w:r>
        <w:r w:rsidRPr="006928E9">
          <w:rPr>
            <w:rStyle w:val="Hypertextovprepojenie"/>
          </w:rPr>
          <w:t>I</w:t>
        </w:r>
        <w:r>
          <w:rPr>
            <w:rStyle w:val="Hypertextovprepojenie"/>
          </w:rPr>
          <w:t xml:space="preserve">nstitute for </w:t>
        </w:r>
        <w:r w:rsidRPr="006928E9">
          <w:rPr>
            <w:rStyle w:val="Hypertextovprepojenie"/>
          </w:rPr>
          <w:t>S</w:t>
        </w:r>
        <w:r>
          <w:rPr>
            <w:rStyle w:val="Hypertextovprepojenie"/>
          </w:rPr>
          <w:t xml:space="preserve">ustainable </w:t>
        </w:r>
        <w:r w:rsidRPr="006928E9">
          <w:rPr>
            <w:rStyle w:val="Hypertextovprepojenie"/>
          </w:rPr>
          <w:t>D</w:t>
        </w:r>
        <w:r>
          <w:rPr>
            <w:rStyle w:val="Hypertextovprepojenie"/>
          </w:rPr>
          <w:t>evelopment,</w:t>
        </w:r>
        <w:r w:rsidRPr="006928E9">
          <w:rPr>
            <w:rStyle w:val="Hypertextovprepojenie"/>
          </w:rPr>
          <w:t xml:space="preserve"> 2013.</w:t>
        </w:r>
      </w:hyperlink>
      <w:r>
        <w:t xml:space="preserve"> </w:t>
      </w:r>
    </w:p>
    <w:p w14:paraId="58A0CBBE" w14:textId="77777777" w:rsidR="009A244C" w:rsidRDefault="009A244C">
      <w:pPr>
        <w:pStyle w:val="Textpoznmkypodiarou"/>
      </w:pPr>
    </w:p>
  </w:footnote>
  <w:footnote w:id="9">
    <w:p w14:paraId="2BB516F6" w14:textId="77777777" w:rsidR="009A244C" w:rsidRDefault="009A244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3" w:history="1">
        <w:r w:rsidRPr="00DF0ECC">
          <w:rPr>
            <w:rStyle w:val="Hypertextovprepojenie"/>
            <w:i/>
          </w:rPr>
          <w:t>EU biofuel use and agricultural commodity prices: A review of the evidence base</w:t>
        </w:r>
        <w:r w:rsidRPr="00DF0ECC">
          <w:rPr>
            <w:rStyle w:val="Hypertextovprepojenie"/>
          </w:rPr>
          <w:t>, London: Institute for European Environmental Policy, 2012</w:t>
        </w:r>
      </w:hyperlink>
    </w:p>
  </w:footnote>
  <w:footnote w:id="10">
    <w:p w14:paraId="5D3E9429" w14:textId="77777777" w:rsidR="009A244C" w:rsidRPr="008B45DB" w:rsidRDefault="009A244C" w:rsidP="007C39AD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8B45DB">
        <w:rPr>
          <w:sz w:val="16"/>
          <w:szCs w:val="16"/>
        </w:rPr>
        <w:t xml:space="preserve">Allen B, Kretschmer B, Baldock D, Menadue H, Nanni S, Tucker G (2014) </w:t>
      </w:r>
      <w:r w:rsidRPr="008B45DB">
        <w:rPr>
          <w:i/>
          <w:sz w:val="16"/>
          <w:szCs w:val="16"/>
        </w:rPr>
        <w:t>Space for energy crops – assesing the potential contribution to Europe’s energy future</w:t>
      </w:r>
      <w:r w:rsidRPr="008B45DB">
        <w:rPr>
          <w:sz w:val="16"/>
          <w:szCs w:val="16"/>
        </w:rPr>
        <w:t>. BirdLife Europe, European Environmental Bureau, Transport Environment. IEEP London</w:t>
      </w:r>
    </w:p>
  </w:footnote>
  <w:footnote w:id="11">
    <w:p w14:paraId="329CE271" w14:textId="429766E9" w:rsidR="009A244C" w:rsidRDefault="009A244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Analýza potenciálu biomasy v katastrálnom území Poniky na udržateľné energetické využívanie, CEPA- Priatelia Zeme (2014) h</w:t>
      </w:r>
      <w:r w:rsidRPr="00617C3D">
        <w:t>ttp://www.priateliazeme.sk/cepa/images/collector/collection/publikacie/analyza%20potencialu%20biomasy%20poniky.pdf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95C17"/>
    <w:multiLevelType w:val="hybridMultilevel"/>
    <w:tmpl w:val="42E4A7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10835"/>
    <w:multiLevelType w:val="hybridMultilevel"/>
    <w:tmpl w:val="9426F5A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0642E"/>
    <w:multiLevelType w:val="multilevel"/>
    <w:tmpl w:val="51EC2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1FD3FFD"/>
    <w:multiLevelType w:val="multilevel"/>
    <w:tmpl w:val="0D722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7B40C4F"/>
    <w:multiLevelType w:val="hybridMultilevel"/>
    <w:tmpl w:val="AA841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243BF"/>
    <w:multiLevelType w:val="hybridMultilevel"/>
    <w:tmpl w:val="81201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iel">
    <w15:presenceInfo w15:providerId="None" w15:userId="Dani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EC"/>
    <w:rsid w:val="00007FD9"/>
    <w:rsid w:val="00040642"/>
    <w:rsid w:val="000564DC"/>
    <w:rsid w:val="00070D46"/>
    <w:rsid w:val="00074190"/>
    <w:rsid w:val="000A79AA"/>
    <w:rsid w:val="000D1F95"/>
    <w:rsid w:val="000E3009"/>
    <w:rsid w:val="00105EB7"/>
    <w:rsid w:val="00125B57"/>
    <w:rsid w:val="001543C6"/>
    <w:rsid w:val="001B3A94"/>
    <w:rsid w:val="001B4F78"/>
    <w:rsid w:val="00207A96"/>
    <w:rsid w:val="00265230"/>
    <w:rsid w:val="00290479"/>
    <w:rsid w:val="002C16C9"/>
    <w:rsid w:val="002F2513"/>
    <w:rsid w:val="00311900"/>
    <w:rsid w:val="003121EF"/>
    <w:rsid w:val="0031649E"/>
    <w:rsid w:val="003269B8"/>
    <w:rsid w:val="003409A9"/>
    <w:rsid w:val="0036561A"/>
    <w:rsid w:val="003A7F19"/>
    <w:rsid w:val="004622BD"/>
    <w:rsid w:val="004626A4"/>
    <w:rsid w:val="00485288"/>
    <w:rsid w:val="004A6B60"/>
    <w:rsid w:val="004D46BA"/>
    <w:rsid w:val="00511D76"/>
    <w:rsid w:val="00565B5D"/>
    <w:rsid w:val="005913F7"/>
    <w:rsid w:val="005C06D0"/>
    <w:rsid w:val="005C5A29"/>
    <w:rsid w:val="00617C3D"/>
    <w:rsid w:val="0064043A"/>
    <w:rsid w:val="006D72EF"/>
    <w:rsid w:val="007242FC"/>
    <w:rsid w:val="00740F9E"/>
    <w:rsid w:val="007B5DD0"/>
    <w:rsid w:val="007C39AD"/>
    <w:rsid w:val="007F3A4D"/>
    <w:rsid w:val="007F66EC"/>
    <w:rsid w:val="008332CA"/>
    <w:rsid w:val="00893422"/>
    <w:rsid w:val="00895844"/>
    <w:rsid w:val="009030E2"/>
    <w:rsid w:val="00912A5C"/>
    <w:rsid w:val="009224EF"/>
    <w:rsid w:val="0092303E"/>
    <w:rsid w:val="00996D89"/>
    <w:rsid w:val="009A244C"/>
    <w:rsid w:val="009B41F2"/>
    <w:rsid w:val="009C4FAF"/>
    <w:rsid w:val="009E3B18"/>
    <w:rsid w:val="009E5938"/>
    <w:rsid w:val="00A74014"/>
    <w:rsid w:val="00AC4BB4"/>
    <w:rsid w:val="00B43C95"/>
    <w:rsid w:val="00B628B1"/>
    <w:rsid w:val="00B935E2"/>
    <w:rsid w:val="00BA3435"/>
    <w:rsid w:val="00BA3F3B"/>
    <w:rsid w:val="00BB46EC"/>
    <w:rsid w:val="00BF2791"/>
    <w:rsid w:val="00C42DD8"/>
    <w:rsid w:val="00C81849"/>
    <w:rsid w:val="00D53C39"/>
    <w:rsid w:val="00D77867"/>
    <w:rsid w:val="00DC1A5E"/>
    <w:rsid w:val="00DE3A78"/>
    <w:rsid w:val="00E45E47"/>
    <w:rsid w:val="00E963F6"/>
    <w:rsid w:val="00ED0712"/>
    <w:rsid w:val="00F05C53"/>
    <w:rsid w:val="00F4211D"/>
    <w:rsid w:val="00F71665"/>
    <w:rsid w:val="00F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10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F66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F66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F66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46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211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211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211D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3C3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C42DD8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42DD8"/>
    <w:rPr>
      <w:color w:val="800080" w:themeColor="followedHyperlink"/>
      <w:u w:val="single"/>
    </w:rPr>
  </w:style>
  <w:style w:type="character" w:styleId="Zvraznenie">
    <w:name w:val="Emphasis"/>
    <w:uiPriority w:val="20"/>
    <w:qFormat/>
    <w:rsid w:val="00265230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7F6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F6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F66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riadkovania">
    <w:name w:val="No Spacing"/>
    <w:uiPriority w:val="1"/>
    <w:qFormat/>
    <w:rsid w:val="005C5A29"/>
    <w:pPr>
      <w:spacing w:after="0" w:line="240" w:lineRule="auto"/>
    </w:pPr>
  </w:style>
  <w:style w:type="paragraph" w:customStyle="1" w:styleId="Default">
    <w:name w:val="Default"/>
    <w:rsid w:val="004D46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fr-FR" w:eastAsia="fr-FR"/>
    </w:rPr>
  </w:style>
  <w:style w:type="character" w:styleId="Odkaznakomentr">
    <w:name w:val="annotation reference"/>
    <w:basedOn w:val="Predvolenpsmoodseku"/>
    <w:uiPriority w:val="99"/>
    <w:semiHidden/>
    <w:unhideWhenUsed/>
    <w:rsid w:val="00007F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7F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7F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7F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7FD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F66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F66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F66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46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211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211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211D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3C3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C42DD8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42DD8"/>
    <w:rPr>
      <w:color w:val="800080" w:themeColor="followedHyperlink"/>
      <w:u w:val="single"/>
    </w:rPr>
  </w:style>
  <w:style w:type="character" w:styleId="Zvraznenie">
    <w:name w:val="Emphasis"/>
    <w:uiPriority w:val="20"/>
    <w:qFormat/>
    <w:rsid w:val="00265230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7F6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F6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F66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riadkovania">
    <w:name w:val="No Spacing"/>
    <w:uiPriority w:val="1"/>
    <w:qFormat/>
    <w:rsid w:val="005C5A29"/>
    <w:pPr>
      <w:spacing w:after="0" w:line="240" w:lineRule="auto"/>
    </w:pPr>
  </w:style>
  <w:style w:type="paragraph" w:customStyle="1" w:styleId="Default">
    <w:name w:val="Default"/>
    <w:rsid w:val="004D46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fr-FR" w:eastAsia="fr-FR"/>
    </w:rPr>
  </w:style>
  <w:style w:type="character" w:styleId="Odkaznakomentr">
    <w:name w:val="annotation reference"/>
    <w:basedOn w:val="Predvolenpsmoodseku"/>
    <w:uiPriority w:val="99"/>
    <w:semiHidden/>
    <w:unhideWhenUsed/>
    <w:rsid w:val="00007F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7F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7F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7F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7F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4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ransportenvironment.org/publications/little-book-biofuels" TargetMode="External"/><Relationship Id="rId18" Type="http://schemas.openxmlformats.org/officeDocument/2006/relationships/hyperlink" Target="mailto:Nemcova@vtaky.sk" TargetMode="Externa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://www.biofuelsreform.org/" TargetMode="External"/><Relationship Id="rId17" Type="http://schemas.openxmlformats.org/officeDocument/2006/relationships/hyperlink" Target="mailto:mojzis@priateliazeme.s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esinsky@changenet.s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www.birdlife.org/sites/default/files/attachments/PolicyBriefing_Space_for_Energy_Crops.pdf" TargetMode="External"/><Relationship Id="rId10" Type="http://schemas.openxmlformats.org/officeDocument/2006/relationships/hyperlink" Target="https://www.google.com/maps/place/Putussibau,+Tj.+Jati,+Putussibau+Selatan,+Kabupaten+Kapuas+Hulu,+Kalimantan+Barat+78753,+Indonesia/@0.8969848,112.8914889,959m/data=!3m1!1e3!4m2!3m1!1s0x3201ea6a83ff27d9:0x87452ab659f2e349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birdlife.org/sites/default/files/attachments/201301_CEDelft_Report.pdf" TargetMode="External"/><Relationship Id="rId22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ep.eu/assets/947/IEEP_Biofuels_and_food_prices_June_2012.pdf" TargetMode="External"/><Relationship Id="rId2" Type="http://schemas.openxmlformats.org/officeDocument/2006/relationships/hyperlink" Target="http://www.transportenvironment.org/publications/uneven-returns-economics-eu-biofuels-policy" TargetMode="External"/><Relationship Id="rId1" Type="http://schemas.openxmlformats.org/officeDocument/2006/relationships/hyperlink" Target="http://www.ieep.eu/assets/731/Anticipated_Indirect_Land_Uce_Change_Associated_with_Expanded_Use_of_Biofuels_and_Bioliquids_in_the_EU_-_An_Analysis_of_the_National_Renewable_Energy_Action_Plans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CC097-14A9-4EF4-92EF-86F08771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2015-02-20T10:51:00Z</cp:lastPrinted>
  <dcterms:created xsi:type="dcterms:W3CDTF">2015-02-20T12:01:00Z</dcterms:created>
  <dcterms:modified xsi:type="dcterms:W3CDTF">2015-02-20T12:01:00Z</dcterms:modified>
</cp:coreProperties>
</file>